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AF5" w:rsidRDefault="00DB0AF5" w:rsidP="00DB0AF5">
      <w:pPr>
        <w:shd w:val="clear" w:color="auto" w:fill="FFFFFF"/>
        <w:spacing w:line="360" w:lineRule="auto"/>
        <w:ind w:firstLine="720"/>
        <w:jc w:val="center"/>
        <w:rPr>
          <w:rFonts w:eastAsia="Calibri"/>
          <w:sz w:val="24"/>
          <w:szCs w:val="24"/>
        </w:rPr>
      </w:pPr>
    </w:p>
    <w:p w:rsidR="00DB0AF5" w:rsidRDefault="00DB0AF5" w:rsidP="00DB0AF5">
      <w:pPr>
        <w:shd w:val="clear" w:color="auto" w:fill="FFFFFF"/>
        <w:spacing w:line="360" w:lineRule="auto"/>
        <w:ind w:firstLine="720"/>
        <w:jc w:val="center"/>
        <w:rPr>
          <w:rFonts w:eastAsia="Calibri"/>
          <w:sz w:val="24"/>
          <w:szCs w:val="24"/>
        </w:rPr>
      </w:pPr>
    </w:p>
    <w:p w:rsidR="00DB0AF5" w:rsidRDefault="00DB0AF5" w:rsidP="00DB0AF5">
      <w:pPr>
        <w:shd w:val="clear" w:color="auto" w:fill="FFFFFF"/>
        <w:spacing w:line="360" w:lineRule="auto"/>
        <w:ind w:firstLine="720"/>
        <w:jc w:val="center"/>
        <w:rPr>
          <w:rFonts w:eastAsia="Calibri"/>
          <w:sz w:val="24"/>
          <w:szCs w:val="24"/>
        </w:rPr>
      </w:pPr>
    </w:p>
    <w:p w:rsidR="00DB0AF5" w:rsidRDefault="00DB0AF5" w:rsidP="00DB0AF5">
      <w:pPr>
        <w:shd w:val="clear" w:color="auto" w:fill="FFFFFF"/>
        <w:spacing w:line="360" w:lineRule="auto"/>
        <w:ind w:firstLine="720"/>
        <w:jc w:val="center"/>
        <w:rPr>
          <w:rFonts w:eastAsia="Calibri"/>
          <w:sz w:val="24"/>
          <w:szCs w:val="24"/>
        </w:rPr>
      </w:pPr>
    </w:p>
    <w:p w:rsidR="00DB0AF5" w:rsidRDefault="00DB0AF5" w:rsidP="00DB0AF5">
      <w:pPr>
        <w:shd w:val="clear" w:color="auto" w:fill="FFFFFF"/>
        <w:spacing w:line="360" w:lineRule="auto"/>
        <w:ind w:firstLine="720"/>
        <w:jc w:val="center"/>
        <w:rPr>
          <w:rFonts w:eastAsia="Calibri"/>
          <w:sz w:val="24"/>
          <w:szCs w:val="24"/>
        </w:rPr>
      </w:pPr>
    </w:p>
    <w:p w:rsidR="00DB0AF5" w:rsidRDefault="00DB0AF5" w:rsidP="00DB0AF5">
      <w:pPr>
        <w:shd w:val="clear" w:color="auto" w:fill="FFFFFF"/>
        <w:spacing w:line="360" w:lineRule="auto"/>
        <w:ind w:firstLine="720"/>
        <w:jc w:val="center"/>
        <w:rPr>
          <w:rFonts w:eastAsia="Calibri"/>
          <w:sz w:val="24"/>
          <w:szCs w:val="24"/>
        </w:rPr>
      </w:pPr>
    </w:p>
    <w:p w:rsidR="00DB0AF5" w:rsidRPr="00DB0AF5" w:rsidRDefault="00DB0AF5" w:rsidP="00DB0AF5">
      <w:pPr>
        <w:shd w:val="clear" w:color="auto" w:fill="FFFFFF"/>
        <w:spacing w:line="360" w:lineRule="auto"/>
        <w:ind w:firstLine="720"/>
        <w:jc w:val="center"/>
        <w:rPr>
          <w:rFonts w:eastAsia="Calibri"/>
          <w:sz w:val="24"/>
          <w:szCs w:val="24"/>
        </w:rPr>
      </w:pPr>
      <w:r w:rsidRPr="00DB0AF5">
        <w:rPr>
          <w:rFonts w:eastAsia="Calibri"/>
          <w:sz w:val="24"/>
          <w:szCs w:val="24"/>
        </w:rPr>
        <w:t>A multinational organization expanding into a new country: A perspective of International HRM</w:t>
      </w:r>
    </w:p>
    <w:p w:rsidR="00DB0AF5" w:rsidRPr="00DB0AF5" w:rsidRDefault="00DB0AF5" w:rsidP="00DB0AF5">
      <w:pPr>
        <w:shd w:val="clear" w:color="auto" w:fill="FFFFFF"/>
        <w:spacing w:line="360" w:lineRule="auto"/>
        <w:jc w:val="center"/>
        <w:rPr>
          <w:rFonts w:eastAsia="Calibri"/>
          <w:sz w:val="24"/>
          <w:szCs w:val="24"/>
        </w:rPr>
      </w:pPr>
      <w:r w:rsidRPr="00DB0AF5">
        <w:rPr>
          <w:rFonts w:eastAsia="Calibri"/>
          <w:sz w:val="24"/>
          <w:szCs w:val="24"/>
        </w:rPr>
        <w:t>Name</w:t>
      </w:r>
    </w:p>
    <w:p w:rsidR="00DB0AF5" w:rsidRPr="00DB0AF5" w:rsidRDefault="00DB0AF5" w:rsidP="00DB0AF5">
      <w:pPr>
        <w:shd w:val="clear" w:color="auto" w:fill="FFFFFF"/>
        <w:spacing w:line="360" w:lineRule="auto"/>
        <w:jc w:val="center"/>
        <w:rPr>
          <w:rFonts w:eastAsia="Calibri"/>
          <w:sz w:val="24"/>
          <w:szCs w:val="24"/>
        </w:rPr>
      </w:pPr>
      <w:r w:rsidRPr="00DB0AF5">
        <w:rPr>
          <w:rFonts w:eastAsia="Calibri"/>
          <w:sz w:val="24"/>
          <w:szCs w:val="24"/>
        </w:rPr>
        <w:t>Institution</w:t>
      </w:r>
    </w:p>
    <w:p w:rsidR="00DB0AF5" w:rsidRPr="00DB0AF5" w:rsidRDefault="00DB0AF5" w:rsidP="00DB0AF5">
      <w:pPr>
        <w:shd w:val="clear" w:color="auto" w:fill="FFFFFF"/>
        <w:spacing w:line="360" w:lineRule="auto"/>
        <w:jc w:val="center"/>
        <w:rPr>
          <w:rFonts w:eastAsia="Calibri"/>
          <w:sz w:val="24"/>
          <w:szCs w:val="24"/>
        </w:rPr>
      </w:pPr>
      <w:r w:rsidRPr="00DB0AF5">
        <w:rPr>
          <w:rFonts w:eastAsia="Calibri"/>
          <w:sz w:val="24"/>
          <w:szCs w:val="24"/>
        </w:rPr>
        <w:t>Date</w:t>
      </w:r>
    </w:p>
    <w:p w:rsidR="00DB0AF5" w:rsidRPr="00DB0AF5" w:rsidRDefault="00DB0AF5" w:rsidP="00DB0AF5">
      <w:pPr>
        <w:rPr>
          <w:rFonts w:eastAsia="Calibri"/>
          <w:sz w:val="24"/>
          <w:szCs w:val="24"/>
        </w:rPr>
      </w:pPr>
      <w:r w:rsidRPr="00DB0AF5">
        <w:rPr>
          <w:rFonts w:eastAsia="Calibri"/>
          <w:sz w:val="24"/>
          <w:szCs w:val="24"/>
        </w:rPr>
        <w:br w:type="page"/>
      </w:r>
    </w:p>
    <w:p w:rsidR="00DB0AF5" w:rsidRPr="00DB0AF5" w:rsidRDefault="00DB0AF5" w:rsidP="00DB0AF5">
      <w:pPr>
        <w:shd w:val="clear" w:color="auto" w:fill="FFFFFF"/>
        <w:spacing w:line="360" w:lineRule="auto"/>
        <w:ind w:firstLine="720"/>
        <w:jc w:val="center"/>
        <w:rPr>
          <w:rFonts w:eastAsia="Calibri"/>
          <w:b/>
          <w:sz w:val="24"/>
          <w:szCs w:val="24"/>
        </w:rPr>
      </w:pPr>
      <w:r w:rsidRPr="00DB0AF5">
        <w:rPr>
          <w:rFonts w:eastAsia="Calibri"/>
          <w:b/>
          <w:sz w:val="24"/>
          <w:szCs w:val="24"/>
        </w:rPr>
        <w:lastRenderedPageBreak/>
        <w:t>Executive summary</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Organizations aimed to study how a multinational organization expands (C&amp;R) into a new country (Malaysia) by focusing on the perspective of International HRM. Most companies have also implemented business intelligence processes as an ERP system extension for gaining greater insight into business transactions and processes (Shen, Chen, </w:t>
      </w:r>
      <w:r w:rsidR="004D323E">
        <w:rPr>
          <w:rFonts w:eastAsia="Calibri"/>
          <w:sz w:val="24"/>
          <w:szCs w:val="24"/>
        </w:rPr>
        <w:t>&amp;</w:t>
      </w:r>
      <w:r w:rsidRPr="00DB0AF5">
        <w:rPr>
          <w:rFonts w:eastAsia="Calibri"/>
          <w:sz w:val="24"/>
          <w:szCs w:val="24"/>
        </w:rPr>
        <w:t xml:space="preserve"> Wang 2016). Notably, business-related information is gathered analysed and stored in ERP systems for future retrieval and reports generation. Additionally, using business intelligence, information stored can be analysed and synthesized to suit the various needs of an organization in decision making.  Such information is considered essential in creating competitive advantages for companies in this dynamic business environment.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To achieve the global sustainability strategy, C&amp;A developed three pillar areas that have the most significant impact on their business; sustainable products, sustainable supply, and sustainable lives. C&amp;A should penetrate to the Malaysian market to enhance its global market share and profitability. There are roughly over 795 Small and Medium Enterprises (SME) in the Malaysian textile industry. The market has a vast potential and is expected to grow to 154% by 2020. The country enjoys sophisticated textile systems but may end up failing due to the lack of knowledgeable and skilled labour.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The shortage of skilled workforce is hindering the growth of the textile industry because many of the textile manufacturers shy away from committing to recurring orders to avoid setbacks due to labour shortage (Udriyah, Tham, </w:t>
      </w:r>
      <w:r w:rsidR="004D323E">
        <w:rPr>
          <w:rFonts w:eastAsia="Calibri"/>
          <w:sz w:val="24"/>
          <w:szCs w:val="24"/>
        </w:rPr>
        <w:t>&amp;</w:t>
      </w:r>
      <w:r w:rsidRPr="00DB0AF5">
        <w:rPr>
          <w:rFonts w:eastAsia="Calibri"/>
          <w:sz w:val="24"/>
          <w:szCs w:val="24"/>
        </w:rPr>
        <w:t xml:space="preserve">Azam 2019). Given the high costs of labour, C&amp;A should be penetrating the Malaysian market by establishing online sales as well as establishing retail stores in the Malaysian market. The discouraging costs of the workforce offer the company the opportunity to import textiles and apparel to the Malaysian market from other countries with lower production costs like China, Sri Lanka, Cambodia, and India. </w:t>
      </w:r>
    </w:p>
    <w:p w:rsidR="00DB0AF5" w:rsidRPr="00DB0AF5" w:rsidRDefault="00DB0AF5" w:rsidP="00DB0AF5">
      <w:pPr>
        <w:shd w:val="clear" w:color="auto" w:fill="FFFFFF"/>
        <w:spacing w:line="360" w:lineRule="auto"/>
        <w:ind w:firstLine="720"/>
        <w:rPr>
          <w:rFonts w:eastAsia="Calibri"/>
          <w:sz w:val="24"/>
          <w:szCs w:val="24"/>
        </w:rPr>
      </w:pPr>
    </w:p>
    <w:p w:rsidR="00DB0AF5" w:rsidRPr="00DB0AF5" w:rsidRDefault="00DB0AF5" w:rsidP="00DB0AF5">
      <w:pPr>
        <w:shd w:val="clear" w:color="auto" w:fill="FFFFFF"/>
        <w:spacing w:line="360" w:lineRule="auto"/>
        <w:ind w:firstLine="720"/>
        <w:rPr>
          <w:rFonts w:eastAsia="Calibri"/>
          <w:sz w:val="24"/>
          <w:szCs w:val="24"/>
        </w:rPr>
      </w:pPr>
    </w:p>
    <w:p w:rsidR="00DB0AF5" w:rsidRPr="00DB0AF5" w:rsidRDefault="00DB0AF5" w:rsidP="00DB0AF5">
      <w:pPr>
        <w:ind w:firstLine="720"/>
        <w:rPr>
          <w:rFonts w:eastAsia="Calibri"/>
          <w:sz w:val="24"/>
          <w:szCs w:val="24"/>
        </w:rPr>
      </w:pPr>
      <w:r w:rsidRPr="00DB0AF5">
        <w:rPr>
          <w:rFonts w:eastAsia="Calibri"/>
          <w:sz w:val="24"/>
          <w:szCs w:val="24"/>
        </w:rPr>
        <w:br w:type="page"/>
      </w:r>
    </w:p>
    <w:p w:rsidR="00DB0AF5" w:rsidRPr="00DB0AF5" w:rsidRDefault="00DB0AF5" w:rsidP="00DB0AF5">
      <w:pPr>
        <w:shd w:val="clear" w:color="auto" w:fill="FFFFFF"/>
        <w:spacing w:line="360" w:lineRule="auto"/>
        <w:ind w:firstLine="720"/>
        <w:jc w:val="center"/>
        <w:rPr>
          <w:rFonts w:eastAsia="Calibri"/>
          <w:sz w:val="24"/>
          <w:szCs w:val="24"/>
        </w:rPr>
      </w:pPr>
      <w:r w:rsidRPr="00DB0AF5">
        <w:rPr>
          <w:rFonts w:eastAsia="Calibri"/>
          <w:sz w:val="24"/>
          <w:szCs w:val="24"/>
        </w:rPr>
        <w:lastRenderedPageBreak/>
        <w:t>A multinational organization expanding into a new country: A perspective of International HRM</w:t>
      </w:r>
    </w:p>
    <w:p w:rsidR="00DB0AF5" w:rsidRPr="00DB0AF5" w:rsidRDefault="00DB0AF5" w:rsidP="00DB0AF5">
      <w:pPr>
        <w:shd w:val="clear" w:color="auto" w:fill="FFFFFF"/>
        <w:spacing w:line="360" w:lineRule="auto"/>
        <w:ind w:firstLine="720"/>
        <w:rPr>
          <w:rFonts w:eastAsia="Calibri"/>
          <w:sz w:val="24"/>
          <w:szCs w:val="24"/>
        </w:rPr>
      </w:pPr>
    </w:p>
    <w:p w:rsidR="00DB0AF5" w:rsidRPr="00DB0AF5" w:rsidRDefault="00DB0AF5" w:rsidP="00C26008">
      <w:pPr>
        <w:pStyle w:val="ListParagraph"/>
        <w:numPr>
          <w:ilvl w:val="0"/>
          <w:numId w:val="7"/>
        </w:numPr>
        <w:shd w:val="clear" w:color="auto" w:fill="FFFFFF"/>
        <w:spacing w:line="360" w:lineRule="auto"/>
        <w:ind w:firstLine="720"/>
        <w:rPr>
          <w:b/>
          <w:bCs/>
          <w:color w:val="000000"/>
          <w:lang w:eastAsia="en-GB"/>
        </w:rPr>
      </w:pPr>
      <w:r w:rsidRPr="00DB0AF5">
        <w:rPr>
          <w:b/>
          <w:bCs/>
          <w:color w:val="000000"/>
          <w:lang w:eastAsia="en-GB"/>
        </w:rPr>
        <w:t>Introduction</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In today's world, companies have come to recognize the importance of offering timely, accurate, and relevant information that facilitates their personnel to engage in effective decision making effectivel</w:t>
      </w:r>
      <w:r w:rsidR="00810AA2">
        <w:rPr>
          <w:rFonts w:eastAsia="Calibri"/>
          <w:sz w:val="24"/>
          <w:szCs w:val="24"/>
        </w:rPr>
        <w:t>y. According to Altamony et al.</w:t>
      </w:r>
      <w:r w:rsidRPr="00DB0AF5">
        <w:rPr>
          <w:rFonts w:eastAsia="Calibri"/>
          <w:sz w:val="24"/>
          <w:szCs w:val="24"/>
        </w:rPr>
        <w:t xml:space="preserve"> (2016), information is very critical and provides the organization with the glue to hold the business together. Most companies have established information systems that help in the collection, processing, and sharing of information among various stakeholders within an organization. One such critical system is Enterprise Resource Planning (ERP) that has revolutionized resource allocation effectively by integrating and standardizing business processes and transactions.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ERP is exceptionally critical in most corporates because it enhances a company's competitiveness in today's business world and provides the basis for future growth. Most companies have also implemented business intelligence processes as an ERP system extension for gaining greater insight into business transactions and processes (Shen, Chen</w:t>
      </w:r>
      <w:r w:rsidR="00C26008">
        <w:rPr>
          <w:rFonts w:eastAsia="Calibri"/>
          <w:sz w:val="24"/>
          <w:szCs w:val="24"/>
        </w:rPr>
        <w:t xml:space="preserve">, </w:t>
      </w:r>
      <w:r w:rsidR="00810AA2">
        <w:rPr>
          <w:rFonts w:eastAsia="Calibri"/>
          <w:sz w:val="24"/>
          <w:szCs w:val="24"/>
        </w:rPr>
        <w:t>&amp;</w:t>
      </w:r>
      <w:r w:rsidRPr="00DB0AF5">
        <w:rPr>
          <w:rFonts w:eastAsia="Calibri"/>
          <w:sz w:val="24"/>
          <w:szCs w:val="24"/>
        </w:rPr>
        <w:t xml:space="preserve"> Wang 2016). Notably, business-related information is gathered analysed and stored in ERP systems for future retrieval and reports generation. Additionally, using business intelligence, information stored can be analysed and synthesized to suit the various needs of an organization in decision making.  Such information is considered essential in creating competitive advantages for companies in this dynamic business environment.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The retail industry, for instance, has faced considerable changes due to changing regulatory environment, competition, the introduction of advanced technologies, and renewable retail. The changing environment increases the need for organizations to create a cohesive decision making process in response to external competitive pressures. This research centres on business intelligence and the development of strategies in Human Resource Management (HRM) by a giant retail company, C&amp;A. However, the strategic approach and findings can be applied to other retail companies as well as other industry sectors.</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Company Background</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C&amp;A is a Dutch global pioneer in the fashion business bosting over 170 years in the market. The company, which initially started in the 1600s as a textile company, has grown through turbulent and prosperous times to get to where it is today. C&amp;A has been a family business over six generations and continues to innovate and adapt to the global changing </w:t>
      </w:r>
      <w:r w:rsidRPr="00DB0AF5">
        <w:rPr>
          <w:rFonts w:eastAsia="Calibri"/>
          <w:sz w:val="24"/>
          <w:szCs w:val="24"/>
        </w:rPr>
        <w:lastRenderedPageBreak/>
        <w:t xml:space="preserve">business environment. In 1841, the two brothers, Clemens and August, coined the name C&amp;A by abbreviating their names. The company's commitment to ensuring customer satisfaction has not changed over the centuries and continues to drive transformations in the fashion industry. Their head offices are located at Vilvoorde in Belgium and Düsseldorf in Germany. It has a chain of retail stores across Europe, Asia, Central, and South America. The company brands range from Canda, Clockhouse, Palomino, Angelo Litrico, Here+there, Yessica, Your sixth sense, Westbury, Yessica Pure, and Rodeo.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The company began discounting in 1906 in Amsterdam, and by 1910 the company had already established ten stores in the Netherlands. For a good number of years now, C&amp;A retail stores have been of significant presence in the high streets of the United Kingdom.</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In the 1990s, C&amp;A engaged in the implementation of SAP's ERP system, mainly, the Enterprise Asset Management functionality aimed at addressing the business change needs. The company later added more functionality systems by extending the ERP modules such as work and Asset management, Logistics, Accounting, Resource Planning and scheduling, and the Human Resource module. The implementation of the ERP system led to significant benefits like improvement in employee productivity, enhanced inventory management, and improved decision making by management.</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Even after implementing the ERP system, the company sometimes found it difficult to retrieve crucial reporting information needed for decision making support. This was because the company had not replaced all its internal systems with t</w:t>
      </w:r>
      <w:r w:rsidR="00810AA2">
        <w:rPr>
          <w:rFonts w:eastAsia="Calibri"/>
          <w:sz w:val="24"/>
          <w:szCs w:val="24"/>
        </w:rPr>
        <w:t xml:space="preserve">he ERP system (Altamony et al., </w:t>
      </w:r>
      <w:r w:rsidRPr="00DB0AF5">
        <w:rPr>
          <w:rFonts w:eastAsia="Calibri"/>
          <w:sz w:val="24"/>
          <w:szCs w:val="24"/>
        </w:rPr>
        <w:t>2016). They needed to integrate existing systems with the new ERP system to allow smooth reporting processes. The company subsequently acquired the Business Warehouse (BW) and SAP to help address the current problem. The integration was not ultimately successful because the company had acquired SAP before BW; hence, the company still faced the same reporting issues.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In 2008, the company embarked in a plan to create an Information Management System that was pinned to Business Intelligence. The goals of the strategy were to create a single Enterprise Data System that would allow the storage and analysis of both strategic and operational activities. Besides, the system was meant to streamline reporting so that only intelligent and relevant information was reported for financial planning, forecasting, and consolidation. Additionally, it allowed only the right information to be shared at the right time to the right people by retiring the Business Warehouse to reduce IT costs and consolidate reporting systems (Shen, Chen</w:t>
      </w:r>
      <w:r w:rsidR="004D323E">
        <w:rPr>
          <w:rFonts w:eastAsia="Calibri"/>
          <w:sz w:val="24"/>
          <w:szCs w:val="24"/>
        </w:rPr>
        <w:t>, &amp;</w:t>
      </w:r>
      <w:r w:rsidRPr="00DB0AF5">
        <w:rPr>
          <w:rFonts w:eastAsia="Calibri"/>
          <w:sz w:val="24"/>
          <w:szCs w:val="24"/>
        </w:rPr>
        <w:t xml:space="preserve"> Wang 2016). The information system consisted of six components that allowed the accommodation of interdependent elements that included </w:t>
      </w:r>
      <w:r w:rsidRPr="00DB0AF5">
        <w:rPr>
          <w:rFonts w:eastAsia="Calibri"/>
          <w:sz w:val="24"/>
          <w:szCs w:val="24"/>
        </w:rPr>
        <w:lastRenderedPageBreak/>
        <w:t>information hierarchy, technology issues, application issues, business intelligence architecture, reporting strategies, and the governance model. For the purpose and relevance of this report, the study discusses the information hierarchy component.</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The information hierarchy component was designed to ensure and address information needs for all stakeholders. Information was arranged in a top-down approach by strategically aligning the level of management with the information requirements as well as performance measures. Performance measures were critical in improving accountability and visibility that leads to a change in staff behaviour. The key information requirement definitions were for performance management meant for business growth, and the operations and decisions support information for managing business operations.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Performance measurement through performance management information supported value-based management and utilized a balanced scorecard </w:t>
      </w:r>
      <w:r w:rsidR="00A06BDF" w:rsidRPr="00DB0AF5">
        <w:rPr>
          <w:rFonts w:eastAsia="Calibri"/>
          <w:sz w:val="24"/>
          <w:szCs w:val="24"/>
        </w:rPr>
        <w:t>approach</w:t>
      </w:r>
      <w:r w:rsidR="00A06BDF" w:rsidRPr="00DB0AF5">
        <w:rPr>
          <w:rFonts w:eastAsia="Calibri"/>
          <w:b/>
          <w:color w:val="FF0000"/>
          <w:sz w:val="24"/>
          <w:szCs w:val="24"/>
        </w:rPr>
        <w:t>.</w:t>
      </w:r>
      <w:r w:rsidR="00A06BDF" w:rsidRPr="00DB0AF5">
        <w:rPr>
          <w:rFonts w:eastAsia="Calibri"/>
          <w:sz w:val="24"/>
          <w:szCs w:val="24"/>
        </w:rPr>
        <w:t xml:space="preserve"> The</w:t>
      </w:r>
      <w:r w:rsidRPr="00DB0AF5">
        <w:rPr>
          <w:rFonts w:eastAsia="Calibri"/>
          <w:sz w:val="24"/>
          <w:szCs w:val="24"/>
        </w:rPr>
        <w:t xml:space="preserve"> performance information was aggregated for decision making by top-level management (Altamony et al., 2016). Performance measurement is strongly reliant on the availability and reliability of the data to arrive at the desired measures. Necessary changes were also made in management processes to ensure all personnel clearly understood performance expectations. Staff appraisals, compensation, and rewarding schemes were established to achieve the desired change in organizational </w:t>
      </w:r>
      <w:r w:rsidR="00C26008" w:rsidRPr="00DB0AF5">
        <w:rPr>
          <w:rFonts w:eastAsia="Calibri"/>
          <w:sz w:val="24"/>
          <w:szCs w:val="24"/>
        </w:rPr>
        <w:t>behaviour</w:t>
      </w:r>
      <w:r w:rsidRPr="00DB0AF5">
        <w:rPr>
          <w:rFonts w:eastAsia="Calibri"/>
          <w:sz w:val="24"/>
          <w:szCs w:val="24"/>
        </w:rPr>
        <w:t>, business processes, and technology support.</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Corporate Strategy</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C&amp;A aims to mainstream sustainability in the fashion clothing industry to become the new normal. The company intends to influence customer's trust to purchase the company products by convincing them of their commitment to transparency, respect to people, and environmental conservation. In 2015, C&amp;A developed its first global sustainability strategy that entails the embedment of sustainability in business operations and the global retail market leadership (Hickman </w:t>
      </w:r>
      <w:r w:rsidR="00380C50">
        <w:rPr>
          <w:rFonts w:eastAsia="Calibri"/>
          <w:sz w:val="24"/>
          <w:szCs w:val="24"/>
        </w:rPr>
        <w:t>&amp;</w:t>
      </w:r>
      <w:r w:rsidRPr="00DB0AF5">
        <w:rPr>
          <w:rFonts w:eastAsia="Calibri"/>
          <w:sz w:val="24"/>
          <w:szCs w:val="24"/>
        </w:rPr>
        <w:t xml:space="preserve"> Silva2018). In addition to the global alignment goals, C&amp;A provides flexibility in goal achievement in meeting local stakeholder needs through innovation. To achieve the global sustainability strategy, the company developed three pillar areas that have the most significant impact on their business; sustainable products, sustainable supply, and sustainable lives.</w:t>
      </w:r>
    </w:p>
    <w:p w:rsidR="00DB0AF5" w:rsidRPr="00DB0AF5" w:rsidRDefault="00DB0AF5" w:rsidP="00C26008">
      <w:pPr>
        <w:shd w:val="clear" w:color="auto" w:fill="FFFFFF"/>
        <w:spacing w:line="360" w:lineRule="auto"/>
        <w:ind w:firstLine="720"/>
        <w:rPr>
          <w:rFonts w:eastAsia="Calibri"/>
          <w:b/>
          <w:sz w:val="24"/>
          <w:szCs w:val="24"/>
        </w:rPr>
      </w:pPr>
      <w:r w:rsidRPr="00DB0AF5">
        <w:rPr>
          <w:rFonts w:eastAsia="Calibri"/>
          <w:b/>
          <w:sz w:val="24"/>
          <w:szCs w:val="24"/>
        </w:rPr>
        <w:t>Sustainable products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In ensuring sustainable products, the company does not intend to pose customers with the challenge to choose between sustainable and non-sustainable products; instead, they are committed to ensuring the entire designed and sourced clothing meet the sustainability criteria. In arriving at this goal, C&amp;A is focusing in ensuring sustainable materials are used in </w:t>
      </w:r>
      <w:r w:rsidRPr="00DB0AF5">
        <w:rPr>
          <w:rFonts w:eastAsia="Calibri"/>
          <w:sz w:val="24"/>
          <w:szCs w:val="24"/>
        </w:rPr>
        <w:lastRenderedPageBreak/>
        <w:t>the manufacture of internal and outsourced clothing to guarantee respect to animals, the environment, and people by 2020. Cotton, for instance, forms the bulk of materials used in the company's clothing. The company is also collaborating with other players in the industry to ensure a collaborative movement in creating innovative and sustainable products.</w:t>
      </w:r>
    </w:p>
    <w:p w:rsidR="00DB0AF5" w:rsidRPr="00DB0AF5" w:rsidRDefault="00DB0AF5" w:rsidP="00C26008">
      <w:pPr>
        <w:shd w:val="clear" w:color="auto" w:fill="FFFFFF"/>
        <w:spacing w:line="360" w:lineRule="auto"/>
        <w:ind w:firstLine="720"/>
        <w:rPr>
          <w:rFonts w:eastAsia="Calibri"/>
          <w:b/>
          <w:sz w:val="24"/>
          <w:szCs w:val="24"/>
        </w:rPr>
      </w:pPr>
      <w:r w:rsidRPr="00DB0AF5">
        <w:rPr>
          <w:rFonts w:eastAsia="Calibri"/>
          <w:b/>
          <w:sz w:val="24"/>
          <w:szCs w:val="24"/>
        </w:rPr>
        <w:t>Sustainable supply</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The supply for C&amp;A's apparel is very complicated. The company runs over 1,600 production units with more than 722 global suppliers that have directly or indirectly employed over one million employees. More so, the company supply chain starts from agriculture with the sourcing of water and raw materials. This explains why the supply chain is so critical to the company's sustainability agenda. The company is focused in ensuring sustainable agriculture and promotes environmental and social sustainability in the supply chain by revolutionizing the production system using technology (Hawking </w:t>
      </w:r>
      <w:r w:rsidR="00380C50">
        <w:rPr>
          <w:rFonts w:eastAsia="Calibri"/>
          <w:sz w:val="24"/>
          <w:szCs w:val="24"/>
        </w:rPr>
        <w:t>&amp;</w:t>
      </w:r>
      <w:r w:rsidRPr="00DB0AF5">
        <w:rPr>
          <w:rFonts w:eastAsia="Calibri"/>
          <w:sz w:val="24"/>
          <w:szCs w:val="24"/>
        </w:rPr>
        <w:t xml:space="preserve">Sellitto2018). By 2020, C&amp;A is committed to ensure zero discharge of harmful chemicals, a 20% reduction in CO2 emissions in C&amp;A offices, distribution centres and stores, reduce water use by 30%, and nil landfill waste.   </w:t>
      </w:r>
    </w:p>
    <w:p w:rsidR="00DB0AF5" w:rsidRPr="00DB0AF5" w:rsidRDefault="00DB0AF5" w:rsidP="00DB0AF5">
      <w:pPr>
        <w:shd w:val="clear" w:color="auto" w:fill="FFFFFF"/>
        <w:spacing w:line="360" w:lineRule="auto"/>
        <w:ind w:firstLine="720"/>
        <w:rPr>
          <w:rFonts w:eastAsia="Calibri"/>
          <w:b/>
          <w:sz w:val="24"/>
          <w:szCs w:val="24"/>
        </w:rPr>
      </w:pPr>
      <w:r w:rsidRPr="00DB0AF5">
        <w:rPr>
          <w:rFonts w:eastAsia="Calibri"/>
          <w:b/>
          <w:sz w:val="24"/>
          <w:szCs w:val="24"/>
        </w:rPr>
        <w:t>Sustainable lives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The sustainable lives strategy for C&amp;A is driven by the fact that the company directly employs 51,000 employees. Through the Apparel supply chain, the company touches the lives of over one million workers and over 100 million customers every year. As a result, everything the company does have a direct impact on the lives of these people. Therefore the company is focusing on ensuring the empowerment of customers in making sustainable shopping decisions.  Besides, the company is inclined to supporting supply chain workers by engaging the company employees as sustainability ambassadors.     </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Economic Drivers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Economic drivers are the internal or external company factors that influence its overall market environment. These factors are available in different economic levels. Microeconomic factors cause changes in the global market environment, while microeconomic factors cause chang</w:t>
      </w:r>
      <w:r w:rsidR="004773CD">
        <w:rPr>
          <w:rFonts w:eastAsia="Calibri"/>
          <w:sz w:val="24"/>
          <w:szCs w:val="24"/>
        </w:rPr>
        <w:t xml:space="preserve">es at the company level (Franco </w:t>
      </w:r>
      <w:r w:rsidRPr="00DB0AF5">
        <w:rPr>
          <w:rFonts w:eastAsia="Calibri"/>
          <w:sz w:val="24"/>
          <w:szCs w:val="24"/>
        </w:rPr>
        <w:t xml:space="preserve">2017). A microeconomic driver could have a material impact on the company earnings or stock price. C&amp;A should penetrate to the Malaysian market to enhance its global market share and profitability. There are roughly over 795 Small and Medium Enterprises (SME) in the Malaysian textile industry. The market has a huge potential and is expected to grow to 154% by 2020. Compared to other South Asian countries, textile exports are considerably low, and they form approximately 2% of total exports. SMEs are struggling to improve on output due to lack of </w:t>
      </w:r>
      <w:r w:rsidRPr="00DB0AF5">
        <w:rPr>
          <w:rFonts w:eastAsia="Calibri"/>
          <w:sz w:val="24"/>
          <w:szCs w:val="24"/>
        </w:rPr>
        <w:lastRenderedPageBreak/>
        <w:t>adequate labour skills, management skills, and capital investment. With over 170 years of operation in the textile and apparel industry, C&amp;A has the requisite tools to succeed in the Malaysian market. The company possesses the needed technology, human capital, and financial capital to set up a production unit in Malaysia. The success achieved in China in such a short time should drive C&amp;A to establish more production units or sales stores in Asia to create a competitive advantage to enhance revenues and improve market share.</w:t>
      </w:r>
    </w:p>
    <w:p w:rsidR="00DB0AF5" w:rsidRPr="00DB0AF5" w:rsidRDefault="00DB0AF5" w:rsidP="00DB0AF5">
      <w:pPr>
        <w:shd w:val="clear" w:color="auto" w:fill="FFFFFF"/>
        <w:spacing w:line="360" w:lineRule="auto"/>
        <w:ind w:firstLine="720"/>
        <w:rPr>
          <w:rFonts w:eastAsia="Calibri"/>
          <w:sz w:val="24"/>
          <w:szCs w:val="24"/>
        </w:rPr>
      </w:pPr>
    </w:p>
    <w:p w:rsidR="00DB0AF5" w:rsidRPr="00DB0AF5" w:rsidRDefault="00DB0AF5" w:rsidP="00DB0AF5">
      <w:pPr>
        <w:pStyle w:val="ListParagraph"/>
        <w:numPr>
          <w:ilvl w:val="0"/>
          <w:numId w:val="7"/>
        </w:numPr>
        <w:shd w:val="clear" w:color="auto" w:fill="FFFFFF"/>
        <w:spacing w:line="360" w:lineRule="auto"/>
        <w:ind w:firstLine="720"/>
        <w:rPr>
          <w:b/>
          <w:bCs/>
          <w:color w:val="000000"/>
          <w:lang w:eastAsia="en-GB"/>
        </w:rPr>
      </w:pPr>
      <w:r w:rsidRPr="00DB0AF5">
        <w:rPr>
          <w:b/>
          <w:bCs/>
          <w:color w:val="000000"/>
          <w:lang w:eastAsia="en-GB"/>
        </w:rPr>
        <w:t xml:space="preserve">PESTEL Analysis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C&amp;A has consistently ensured dignified and safe work for everyone. The company believes that all apparel workers should work in safe and acceptable working conditions. In the 1970s, Malaysia prohibited the foreign ownership of manuf</w:t>
      </w:r>
      <w:r w:rsidR="00B732EC">
        <w:rPr>
          <w:rFonts w:eastAsia="Calibri"/>
          <w:sz w:val="24"/>
          <w:szCs w:val="24"/>
        </w:rPr>
        <w:t>acturing companies (Lee, Hassa, &amp;</w:t>
      </w:r>
      <w:r w:rsidRPr="00DB0AF5">
        <w:rPr>
          <w:rFonts w:eastAsia="Calibri"/>
          <w:sz w:val="24"/>
          <w:szCs w:val="24"/>
        </w:rPr>
        <w:t xml:space="preserve">Mohamed 2016). This led to a decline in Foreign Direct Investment (FDI) and loss of job opportunities that resulted in a change of political heart in the 1980s. The country embarked in promoting FDI by allowing joint ownership of a business by foreign investors and Malays. Malaysia has political and ethnic differences that set it apart when compared to other countries in the region. According to (Crinis 2017 ), in the spirit of promoting the textile export market, the Malaysian government promoted the recruitment of foreign labour to solve increasing labour costs and shortages instead of training upgrading domestic workers. Johor state houses the Malaysian Knitting Manufacturers Association (MKMA) and accounts for over 40% of the country's textiles and garments. Penang state is the largest producer of woven fabrics and garments. However, there is little Malaysian labour to meet the demands of the textile industry.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The country enjoys sophisticated textile systems but may end up failing due to the lack of knowledgeable and skilled labour. The shortage of skilled workforce is hindering the growth of the textile industry because many of the textile manufacturers shy away from committing to recurring orders to avoid setbacks due to</w:t>
      </w:r>
      <w:r w:rsidR="004D323E">
        <w:rPr>
          <w:rFonts w:eastAsia="Calibri"/>
          <w:sz w:val="24"/>
          <w:szCs w:val="24"/>
        </w:rPr>
        <w:t xml:space="preserve"> labour shortage (Udriyah, Tham, &amp;</w:t>
      </w:r>
      <w:r w:rsidRPr="00DB0AF5">
        <w:rPr>
          <w:rFonts w:eastAsia="Calibri"/>
          <w:sz w:val="24"/>
          <w:szCs w:val="24"/>
        </w:rPr>
        <w:t xml:space="preserve">Azam 2019). As a result, the industry is filled with foreign workers because companies find it challenging to increase wages to attract local workers.           </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Mode of Entry</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The foreign labour practice in the Malaysian textile and garment industry, which is regulated by the government, exposes the manufacturer to future labour uncertainties that could adversely affect any labour reliant manufacturing entity. The industry is labour intensive and requires labour to run smoothly. As a result, some manufacturers in Malaysia have establishments in countries with cheaper labour to reduce on costs of production </w:t>
      </w:r>
      <w:r w:rsidRPr="00DB0AF5">
        <w:rPr>
          <w:rFonts w:eastAsia="Calibri"/>
          <w:sz w:val="24"/>
          <w:szCs w:val="24"/>
        </w:rPr>
        <w:lastRenderedPageBreak/>
        <w:t>(Crinis2017). Other operators like Puma have established vertical supply chains by producing garments in neighbouring countries like Cambodia, where labour is cheaper. Given the high costs of labour, C&amp;A should penetrate the Malaysian market by establishing online sales as well as establishing retail stores in the Malaysian market. The discouraging costs of human resources offer the company the opportunity to import textiles and apparel to the Malaysian market from other countries with lower production costs like China, Sri Lanka, Cambodia, and India. It shall also relief the company from a large capital outlay needed to set up a manufacturing plant.</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HRM Model</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C&amp;A applies the Harvard Human Resource Management model. The HRM framework is adopted due to its holistic nature to HR as well as showing different outcome levels. Firstly, the model consists of six essential business components; stakeholder interests, situation factors, HR outcomes, HRM policy choices, long-term consequences, and feedback the flow from the external environment to the organization stakeholders (Sato, Kobayashi, </w:t>
      </w:r>
      <w:r w:rsidR="00B732EC">
        <w:rPr>
          <w:rFonts w:eastAsia="Calibri"/>
          <w:sz w:val="24"/>
          <w:szCs w:val="24"/>
        </w:rPr>
        <w:t>&amp;</w:t>
      </w:r>
      <w:r w:rsidRPr="00DB0AF5">
        <w:rPr>
          <w:rFonts w:eastAsia="Calibri"/>
          <w:sz w:val="24"/>
          <w:szCs w:val="24"/>
        </w:rPr>
        <w:t xml:space="preserve">Shirasaka 2017).    </w:t>
      </w:r>
    </w:p>
    <w:p w:rsidR="00DB0AF5" w:rsidRPr="00DB0AF5" w:rsidRDefault="00DB0AF5" w:rsidP="00DB0AF5">
      <w:pPr>
        <w:shd w:val="clear" w:color="auto" w:fill="FFFFFF"/>
        <w:spacing w:line="360" w:lineRule="auto"/>
        <w:ind w:firstLine="720"/>
        <w:rPr>
          <w:rFonts w:eastAsia="Calibri"/>
          <w:sz w:val="24"/>
          <w:szCs w:val="24"/>
        </w:rPr>
      </w:pPr>
      <w:r w:rsidRPr="00DB0AF5">
        <w:rPr>
          <w:noProof/>
          <w:lang w:val="en-US"/>
        </w:rPr>
        <w:drawing>
          <wp:inline distT="0" distB="0" distL="0" distR="0">
            <wp:extent cx="5210175" cy="3457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31144" name=""/>
                    <pic:cNvPicPr/>
                  </pic:nvPicPr>
                  <pic:blipFill>
                    <a:blip r:embed="rId8"/>
                    <a:stretch>
                      <a:fillRect/>
                    </a:stretch>
                  </pic:blipFill>
                  <pic:spPr>
                    <a:xfrm>
                      <a:off x="0" y="0"/>
                      <a:ext cx="5210175" cy="3457575"/>
                    </a:xfrm>
                    <a:prstGeom prst="rect">
                      <a:avLst/>
                    </a:prstGeom>
                  </pic:spPr>
                </pic:pic>
              </a:graphicData>
            </a:graphic>
          </wp:inline>
        </w:drawing>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Figure 1: The Harvard HRM model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Stakeholder interests are the critical component of the model. To ensure sustainable global market leadership, C&amp;A has continued to ensure compliance with worldwide business and labour regulations. The company's sustainable lives strategy reflects the company's priority in managing sustainable stakeholder interests. As a result, C&amp;A is focusing on </w:t>
      </w:r>
      <w:r w:rsidRPr="00DB0AF5">
        <w:rPr>
          <w:rFonts w:eastAsia="Calibri"/>
          <w:sz w:val="24"/>
          <w:szCs w:val="24"/>
        </w:rPr>
        <w:lastRenderedPageBreak/>
        <w:t>ensuring the empowerment of customers in making sustainable shopping decisions.  Also, the company is inclined to supporting supply chain workers by engaging the company employees as sustainability ambassadors.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The situational factors, on the other hand, influence the stakeholders' interests, which subsequently affect the HR policies at C&amp;A. The company faces significant pressure from within and outside the company, such as employee influence in terms of the authorities, responsibilities, and power delegation to employees from management. These influences have been in a way that they are compatible with the purpose and priorities of the company. The company has aligned personnel specialists and management who are competent as per the Harvard Model to deliver on its strategic objectives. This has been achieved through the company's exemplary management of the recruitment, promotion, employment termination, and career advancement processes.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The company has an extrinsic and intrinsic reward system that ensures proper compensation and benefits, health insurance, pension holiday entitlement, bonuses, flexible working environment, and working hours. The Harvard model calls for the active involvement of employees in designing the rewarding system; however, besides meeting the needs of employees, the final decision has been consistent with HRM policies, business strategy, and management policy. C&amp;A has utilized work systems that include information, technology, activities, and people by arranging them at all organization levels to allow effective and efficient work performance.</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In adhering to the philosophies of the Harvard, the HR model company has been able to ensure high levels of staff commitment, congruence, and competence, and cost-efficiency. For instance, C&amp;A has overtime maintained a below-average staff turnover rate.       </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Culture Challenges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Given the international market presence of C&amp;A across Europe, Asia, Central, and South America, the country faces several cultural challenges in its day to day operations within its current markets and while penetrating new markets. It is the goal of C&amp;A to ensure sustainability as a norm for both customers and employees. The company aims to ensure customers have a super experience while shopping at C&amp;A stores while ensuring employees feel valued for their contributions to the organization.</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Technological advancements have continuously made it possible for organizations to hire employees from different countries to meet specific business needs. A more diverse cultured workforce offers an exciting opportunity for the innovation approach; however, cultural differences can hinder optimal productivity (Lambert 2016). By understanding the </w:t>
      </w:r>
      <w:r w:rsidRPr="00DB0AF5">
        <w:rPr>
          <w:rFonts w:eastAsia="Calibri"/>
          <w:sz w:val="24"/>
          <w:szCs w:val="24"/>
        </w:rPr>
        <w:lastRenderedPageBreak/>
        <w:t>potential cultural obstacles, companies can ensure proactive measures for cultural awareness promotion and enhance the productivity of a global workforce. C&amp;A has faced various management challenges when recruiting staff from multiple countries. The company has been forced to conduct numerous employee surveys to determine compatibility with current management and business operation practices. Besides, the company conducts education and training programs to ensure all staff are at par with the prevailing global business environment in line with the sustainable lives strategy.</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While designing fashion clothing for sale in various regions, C&amp;A has to ensure apparel is consistent with the areas'/country's cultural and religious norms. That's how the company has come up with various company brands such as Canda, Clockhouse, Palomino, Angelo Litrico, Here+there, Yessica, Your sixth sense, Westbury, Yessica Pure and Rodeo to suit various occasions and cultures.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Additionally, language sometimes becomes a major stumbling block when doing recruitments. C&amp;A sometimes misses out on great talents simply because of language differences. However, the company has done all at its power to ensure employees get proper training on language to ensure smooth business processes.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C&amp;A has faced labour demographic changes resulting in a higher staff number retiring rather than hiring. This has significantly been contributed by advancement in technology, which has replaced manual labour needed as well as the current generation that is multi-skilled. The creation of production units across regions has also enabled C&amp;A to carry recruitment where the necessary talent and knowledge are available.</w:t>
      </w:r>
    </w:p>
    <w:p w:rsidR="00DB0AF5" w:rsidRPr="00DB0AF5" w:rsidRDefault="00DB0AF5" w:rsidP="00DB0AF5">
      <w:pPr>
        <w:shd w:val="clear" w:color="auto" w:fill="FFFFFF"/>
        <w:spacing w:line="360" w:lineRule="auto"/>
        <w:ind w:firstLine="720"/>
        <w:rPr>
          <w:b/>
          <w:bCs/>
          <w:color w:val="000000"/>
          <w:sz w:val="24"/>
          <w:szCs w:val="24"/>
          <w:lang w:eastAsia="en-GB"/>
        </w:rPr>
      </w:pP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Recruitment and Selection process</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Successful recruitment and selection process first entails establishing a well-outlined job description and job analysis. Job description offers guidelines for profiling the kind of person confident and competent enough to perform the task. It enlists all the tasks that need to be carried out (Noe et al., 2017). On the other hand, a job analysis outlines the duties, responsibilities, work environment, necessary skills, and desired outcomes.</w:t>
      </w:r>
    </w:p>
    <w:p w:rsidR="00DB0AF5" w:rsidRPr="00DB0AF5" w:rsidRDefault="00DB0AF5" w:rsidP="00DB0AF5">
      <w:pPr>
        <w:pStyle w:val="ListParagraph"/>
        <w:shd w:val="clear" w:color="auto" w:fill="FFFFFF"/>
        <w:spacing w:line="360" w:lineRule="auto"/>
        <w:ind w:left="420" w:firstLine="720"/>
        <w:rPr>
          <w:b/>
          <w:bCs/>
          <w:color w:val="000000"/>
          <w:lang w:eastAsia="en-GB"/>
        </w:rPr>
      </w:pP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Source of External Recruitment</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All available job opportunities are typically displayed on the company website at the careers section, whether a job seeker wants to work as designers, IT, or as sales assistants within branches of at any other capacity at the company's head offices. Once a potential employee identifies the suitable job, the next step includes applying for the post by clicking </w:t>
      </w:r>
      <w:r w:rsidRPr="00DB0AF5">
        <w:rPr>
          <w:rFonts w:eastAsia="Calibri"/>
          <w:sz w:val="24"/>
          <w:szCs w:val="24"/>
        </w:rPr>
        <w:lastRenderedPageBreak/>
        <w:t xml:space="preserve">on the apply link then completes a standardized application form before uploading other application documents. When C&amp;A receives a job application, a prompt confirmation of receipt message is relayed back to the sender. Standard review of job applications takes four weeks, after which shortlisted individuals are called for an initial introductory phone call then invited for a face to face interview.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Further details about the job are shared at this stage, and depending on the level of entry or department, the job seeker is invited for a subsequent interview or asked to attend the company's assessment </w:t>
      </w:r>
      <w:r w:rsidR="00C26008" w:rsidRPr="00DB0AF5">
        <w:rPr>
          <w:rFonts w:eastAsia="Calibri"/>
          <w:sz w:val="24"/>
          <w:szCs w:val="24"/>
        </w:rPr>
        <w:t>centre</w:t>
      </w:r>
      <w:r w:rsidRPr="00DB0AF5">
        <w:rPr>
          <w:rFonts w:eastAsia="Calibri"/>
          <w:sz w:val="24"/>
          <w:szCs w:val="24"/>
        </w:rPr>
        <w:t>. Upon being satisfied by the interviewee, the company makes a formal job offer. If satisfied with the offer, the job seeker becomes a new member of staff, and preparations for the first day at work begin.</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Source of Internal Recruitment</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Rodger's seven-point recruitment plan model is critical in matching the job description and the job applicant. The seven points considered during recruitment, according to Rodger, include physique, qualification and experience achievements, logical capability, special aptitudes, extra-curricular activities, disposition and flexibility, and adaptation. During recruitment, it is essential to prioritize vitally and desired applicant characteristics before starting the selection process. C&amp;A being a multinational company with a diverse cultural environment emphasizes more on the applicant's work attitudes and skills. This helps the company avoid the application of a biased selection process that can complicate the selection process.</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Training and Development</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C&amp;A prides itself in ensuring sustainability in all its business engagements. As a result, the company engages and empowers its employees in sustainability matters about their region (Zarceno 2017). The store staffs are essential ambassadors of the company's sustainability strategy, making them particularly important in the training programs. Internal engagements and communications are shared to store staff during customer-facing campaigns to ensure the information is relayed to customers. C&amp;A supports staff personal and career development by providing an e-learning platform at the workplace and offers core topics for learning as well as management development programs that provide additional training to managers with both potential and outstanding performance.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For new staff, the company C&amp;A Europe provides a monthly orientation plan that ensures familiarization with the business environment and the company's actions and commitments to sustainability. C&amp;A China and Brazil launched a company-wide online </w:t>
      </w:r>
      <w:r w:rsidRPr="00DB0AF5">
        <w:rPr>
          <w:rFonts w:eastAsia="Calibri"/>
          <w:sz w:val="24"/>
          <w:szCs w:val="24"/>
        </w:rPr>
        <w:lastRenderedPageBreak/>
        <w:t xml:space="preserve">training platform and corporate education platform, respectively, in 2017 to supplement the training needs of the company staff. </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Performance Management and Appraisal</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Changing environmental needs are forcing contemporary organizations to transform to excel in business through proactive change managing an adaptive capability building (DeNisi</w:t>
      </w:r>
      <w:r w:rsidR="004773CD">
        <w:rPr>
          <w:rFonts w:eastAsia="Calibri"/>
          <w:sz w:val="24"/>
          <w:szCs w:val="24"/>
        </w:rPr>
        <w:t>&amp;</w:t>
      </w:r>
      <w:r w:rsidRPr="00DB0AF5">
        <w:rPr>
          <w:rFonts w:eastAsia="Calibri"/>
          <w:sz w:val="24"/>
          <w:szCs w:val="24"/>
        </w:rPr>
        <w:t xml:space="preserve"> Murphy</w:t>
      </w:r>
      <w:r w:rsidR="004773CD">
        <w:rPr>
          <w:rFonts w:eastAsia="Calibri"/>
          <w:sz w:val="24"/>
          <w:szCs w:val="24"/>
        </w:rPr>
        <w:t>,</w:t>
      </w:r>
      <w:r w:rsidRPr="00DB0AF5">
        <w:rPr>
          <w:rFonts w:eastAsia="Calibri"/>
          <w:sz w:val="24"/>
          <w:szCs w:val="24"/>
        </w:rPr>
        <w:t xml:space="preserve"> 2017). Traditional methods did not put into consideration the dynamic nature of the business environment instead used subjective performance indicators and behavioural attributes in evaluating performance. </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 xml:space="preserve">Performance Management </w:t>
      </w:r>
    </w:p>
    <w:p w:rsidR="00C26008"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Performance management involves the identification, measurement, management, and development of the performance of personnel in and organization. The performance management cycle is a four-step procedure that requires planning, monitoring, reviewing, and rewarding. Traditionally the model runs for one year ending with a review (Soesanto et al., 2016). C&amp;A practices this traditional one-year performance management model where performance planning is done at the start of the year when performance targets for the year are set using a balanced scorecard. Across the year, actual performance is shared with respective staff on a monthly and quarterly basis to allow performance monitoring.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The interim sharing of performance enable employees to know areas that they are doing well as well as area the need more focus. Performance reviews are conducted at the end of every month and quarter and year to track the progressive performance of staff and determine the suitability of goals and the needed actions to set goals for the coming year. This performance management model is important in ensuring employees are aligned to organization goals by understanding individual objectives and those of the organization and have a clear plan on how to achieve them.         </w:t>
      </w:r>
    </w:p>
    <w:p w:rsidR="00DB0AF5" w:rsidRPr="00DB0AF5" w:rsidRDefault="00DB0AF5" w:rsidP="00C26008">
      <w:pPr>
        <w:pStyle w:val="ListParagraph"/>
        <w:numPr>
          <w:ilvl w:val="3"/>
          <w:numId w:val="7"/>
        </w:numPr>
        <w:shd w:val="clear" w:color="auto" w:fill="FFFFFF"/>
        <w:spacing w:line="360" w:lineRule="auto"/>
        <w:rPr>
          <w:b/>
          <w:bCs/>
          <w:color w:val="000000"/>
          <w:lang w:eastAsia="en-GB"/>
        </w:rPr>
      </w:pPr>
      <w:r w:rsidRPr="00DB0AF5">
        <w:rPr>
          <w:b/>
          <w:bCs/>
          <w:color w:val="000000"/>
          <w:lang w:eastAsia="en-GB"/>
        </w:rPr>
        <w:t xml:space="preserve"> Performance appraisal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Performance appraisal is the process of evaluating the progress made by assessing employee's actual performance against previously set performance targets over time. 360-degree feedback is a performance appraisal technique that gathers feedback from various sources such as customers, subordinates, peers, senior managers, and direct reports. Such kind of feedback provides the manager with a wide range of perspectives that can make management fair and objective. Basically, there are three major components of the system that include; the assessment feedback provided by a respondent concerning a leader, the feedback provided which should be discussed by a facilitator, a mentor and a supervisor and a training program to address the strengths and weaknesses addresses in the assessment </w:t>
      </w:r>
      <w:r w:rsidRPr="00DB0AF5">
        <w:rPr>
          <w:rFonts w:eastAsia="Calibri"/>
          <w:sz w:val="24"/>
          <w:szCs w:val="24"/>
        </w:rPr>
        <w:lastRenderedPageBreak/>
        <w:t>feedback. The method has numerous advantages like increasing self-awareness, promoting openness, enhancing accountability, and continues improvement. However, as noted by DeNisi</w:t>
      </w:r>
      <w:r w:rsidR="004773CD">
        <w:rPr>
          <w:rFonts w:eastAsia="Calibri"/>
          <w:sz w:val="24"/>
          <w:szCs w:val="24"/>
        </w:rPr>
        <w:t>&amp;</w:t>
      </w:r>
      <w:r w:rsidRPr="00DB0AF5">
        <w:rPr>
          <w:rFonts w:eastAsia="Calibri"/>
          <w:sz w:val="24"/>
          <w:szCs w:val="24"/>
        </w:rPr>
        <w:t xml:space="preserve"> Murphy (2017), it is not the best tool for performance appraisal. When structured properly, 360-degree feedback creates trust among staff but focuses more on competencies and behaviour than the basic job skills and performance objectives. Performance appraisal at C&amp;A is done through the performance management information system, which supports value-based management and utilizes a balanced scorecard approach. The performance information is aggregated for decision making by top-level management, including rewarding.     </w:t>
      </w:r>
    </w:p>
    <w:p w:rsidR="00DB0AF5" w:rsidRPr="00DB0AF5" w:rsidRDefault="00DB0AF5" w:rsidP="00DB0AF5">
      <w:pPr>
        <w:pStyle w:val="ListParagraph"/>
        <w:numPr>
          <w:ilvl w:val="0"/>
          <w:numId w:val="7"/>
        </w:numPr>
        <w:shd w:val="clear" w:color="auto" w:fill="FFFFFF"/>
        <w:spacing w:line="360" w:lineRule="auto"/>
        <w:ind w:firstLine="720"/>
        <w:rPr>
          <w:b/>
          <w:bCs/>
          <w:color w:val="000000"/>
          <w:lang w:eastAsia="en-GB"/>
        </w:rPr>
      </w:pPr>
      <w:r w:rsidRPr="00DB0AF5">
        <w:rPr>
          <w:b/>
          <w:bCs/>
          <w:color w:val="000000"/>
          <w:lang w:eastAsia="en-GB"/>
        </w:rPr>
        <w:t xml:space="preserve">Rewards Management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Rewards management is the process of formulating and implementing policies and strategies that are aimed at rewarding employees equitably, fairly, and consistently in respect to their value to a given organization. The total rewarding model consists of six components; work-life effectiveness, talent development, performance management, recognition, benefits, and compensation (Hoole and Hotz, 2016). These rewards collectively determine a company's ability to attract, motivate, engage, and retain employees. The total reward model is a useful tool for creating satisfied, productive, and engaged employees who consequently help in realizing the desired business performance results. C&amp;A offers a range of rewards to employees that include insurance, wellness and health covers, financial and retirement benefit plans, family and parenting, holidays, vacation and time off, pecks and discounts, career, and professional development opportunities, among others. Kris Lui, the global head of HR at C&amp;A, in explaining the need for reward management notes that employees nowadays are not only motivated by money, but they also evaluate the meaning and purpose of the company and how it contributes to the wellness of the society and its staff.         </w:t>
      </w:r>
    </w:p>
    <w:p w:rsidR="00DB0AF5" w:rsidRPr="00DB0AF5" w:rsidRDefault="00DB0AF5" w:rsidP="00DB0AF5">
      <w:pPr>
        <w:pStyle w:val="ListParagraph"/>
        <w:numPr>
          <w:ilvl w:val="0"/>
          <w:numId w:val="7"/>
        </w:numPr>
        <w:shd w:val="clear" w:color="auto" w:fill="FFFFFF"/>
        <w:spacing w:line="360" w:lineRule="auto"/>
        <w:ind w:firstLine="720"/>
        <w:rPr>
          <w:b/>
          <w:bCs/>
          <w:color w:val="000000"/>
          <w:lang w:eastAsia="en-GB"/>
        </w:rPr>
      </w:pPr>
      <w:r w:rsidRPr="00DB0AF5">
        <w:rPr>
          <w:b/>
          <w:bCs/>
          <w:color w:val="000000"/>
          <w:lang w:eastAsia="en-GB"/>
        </w:rPr>
        <w:t xml:space="preserve">Employee Engagement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Employee engagement refers to how passionate employees are about their work, level of commitment to the organization, and the level of effort they engage in tasks. Employee, according to Aon Hewitt employee engagement model is the primary goal of talent attraction and retention (Jha and Kumar 2016). The model is based on three major components that include; 1. Engagement drivers who refer to company-specific characteristics that are likely to keep employees engaged like brand image, company leadership, the performance of the company, nature of the work, company practices, and job basics. 2. Engagement outcomes like employee productivity, what they say about the company and how long they stay and 3. </w:t>
      </w:r>
      <w:r w:rsidRPr="00DB0AF5">
        <w:rPr>
          <w:rFonts w:eastAsia="Calibri"/>
          <w:sz w:val="24"/>
          <w:szCs w:val="24"/>
        </w:rPr>
        <w:lastRenderedPageBreak/>
        <w:t xml:space="preserve">Business outcomes like talent retention, operational efficiency, customer satisfaction and financial enhancement.  </w:t>
      </w:r>
    </w:p>
    <w:p w:rsidR="00DB0AF5" w:rsidRPr="00DB0AF5" w:rsidRDefault="00DB0AF5" w:rsidP="00DB0AF5">
      <w:pPr>
        <w:shd w:val="clear" w:color="auto" w:fill="FFFFFF"/>
        <w:spacing w:line="360" w:lineRule="auto"/>
        <w:ind w:firstLine="720"/>
        <w:rPr>
          <w:rFonts w:eastAsia="Calibri"/>
          <w:sz w:val="24"/>
          <w:szCs w:val="24"/>
        </w:rPr>
      </w:pPr>
    </w:p>
    <w:p w:rsidR="00DB0AF5" w:rsidRPr="00DB0AF5" w:rsidRDefault="00DB0AF5" w:rsidP="00DB0AF5">
      <w:pPr>
        <w:shd w:val="clear" w:color="auto" w:fill="FFFFFF"/>
        <w:spacing w:line="360" w:lineRule="auto"/>
        <w:ind w:firstLine="720"/>
        <w:rPr>
          <w:rFonts w:eastAsia="Calibri"/>
          <w:sz w:val="24"/>
          <w:szCs w:val="24"/>
        </w:rPr>
      </w:pPr>
      <w:r w:rsidRPr="00DB0AF5">
        <w:rPr>
          <w:noProof/>
          <w:lang w:val="en-US"/>
        </w:rPr>
        <w:drawing>
          <wp:inline distT="0" distB="0" distL="0" distR="0">
            <wp:extent cx="5274310" cy="3397873"/>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58793" name=""/>
                    <pic:cNvPicPr/>
                  </pic:nvPicPr>
                  <pic:blipFill>
                    <a:blip r:embed="rId9"/>
                    <a:stretch>
                      <a:fillRect/>
                    </a:stretch>
                  </pic:blipFill>
                  <pic:spPr>
                    <a:xfrm>
                      <a:off x="0" y="0"/>
                      <a:ext cx="5274310" cy="3397873"/>
                    </a:xfrm>
                    <a:prstGeom prst="rect">
                      <a:avLst/>
                    </a:prstGeom>
                  </pic:spPr>
                </pic:pic>
              </a:graphicData>
            </a:graphic>
          </wp:inline>
        </w:drawing>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Figure 2: Aon Hewitt employee engagement model</w:t>
      </w:r>
    </w:p>
    <w:p w:rsidR="00DB0AF5" w:rsidRPr="00DB0AF5" w:rsidRDefault="00DB0AF5" w:rsidP="00DB0AF5">
      <w:pPr>
        <w:pStyle w:val="ListParagraph"/>
        <w:numPr>
          <w:ilvl w:val="0"/>
          <w:numId w:val="7"/>
        </w:numPr>
        <w:shd w:val="clear" w:color="auto" w:fill="FFFFFF"/>
        <w:spacing w:line="360" w:lineRule="auto"/>
        <w:ind w:firstLine="720"/>
        <w:rPr>
          <w:b/>
          <w:bCs/>
          <w:color w:val="000000"/>
          <w:lang w:eastAsia="en-GB"/>
        </w:rPr>
      </w:pPr>
      <w:r w:rsidRPr="00DB0AF5">
        <w:rPr>
          <w:b/>
          <w:bCs/>
          <w:color w:val="000000"/>
          <w:lang w:eastAsia="en-GB"/>
        </w:rPr>
        <w:t xml:space="preserve">Recommendation </w:t>
      </w:r>
    </w:p>
    <w:p w:rsidR="00DB0AF5" w:rsidRPr="00DB0AF5" w:rsidRDefault="00DB0AF5" w:rsidP="00DB0AF5">
      <w:pPr>
        <w:shd w:val="clear" w:color="auto" w:fill="FFFFFF"/>
        <w:spacing w:line="360" w:lineRule="auto"/>
        <w:ind w:firstLine="720"/>
        <w:rPr>
          <w:rFonts w:eastAsia="Calibri"/>
          <w:sz w:val="24"/>
          <w:szCs w:val="24"/>
        </w:rPr>
      </w:pPr>
      <w:r w:rsidRPr="00DB0AF5">
        <w:rPr>
          <w:rFonts w:eastAsia="Calibri"/>
          <w:sz w:val="24"/>
          <w:szCs w:val="24"/>
        </w:rPr>
        <w:t xml:space="preserve">Given the high costs of labour, C&amp;A should penetrate the Malaysian market by establishing online sales as well as establishing retail stores in the Malaysian market. The discouraging costs of workforce offer the company the opportunity to import textiles and apparel to the Malaysian market from other countries with lower production costs like China, Sri Lanka, Cambodia and India. Besides C&amp;A should continue to apply its global HRM policy which has served the company to almost perfection. They should maintain their open and fair staff recruitment and selection process, reward management, training and development and performance appraisal and management techniques that have seen the company achieve below market average staff turnovers.   </w:t>
      </w:r>
    </w:p>
    <w:p w:rsidR="00DB0AF5" w:rsidRPr="00DB0AF5" w:rsidRDefault="00DB0AF5" w:rsidP="00DB0AF5">
      <w:pPr>
        <w:shd w:val="clear" w:color="auto" w:fill="FFFFFF"/>
        <w:spacing w:line="360" w:lineRule="auto"/>
        <w:ind w:firstLine="720"/>
        <w:rPr>
          <w:rFonts w:eastAsia="Calibri"/>
          <w:sz w:val="24"/>
          <w:szCs w:val="24"/>
        </w:rPr>
      </w:pPr>
    </w:p>
    <w:p w:rsidR="00DB0AF5" w:rsidRPr="00DB0AF5" w:rsidRDefault="00DB0AF5" w:rsidP="00DB0AF5">
      <w:pPr>
        <w:pStyle w:val="ListParagraph"/>
        <w:numPr>
          <w:ilvl w:val="0"/>
          <w:numId w:val="7"/>
        </w:numPr>
        <w:shd w:val="clear" w:color="auto" w:fill="FFFFFF"/>
        <w:spacing w:line="360" w:lineRule="auto"/>
        <w:ind w:firstLine="720"/>
        <w:rPr>
          <w:b/>
          <w:bCs/>
          <w:color w:val="000000"/>
          <w:lang w:eastAsia="en-GB"/>
        </w:rPr>
      </w:pPr>
      <w:r w:rsidRPr="00DB0AF5">
        <w:rPr>
          <w:b/>
          <w:bCs/>
          <w:color w:val="000000"/>
          <w:lang w:eastAsia="en-GB"/>
        </w:rPr>
        <w:t>Conclusion</w:t>
      </w:r>
    </w:p>
    <w:p w:rsidR="00DB0AF5" w:rsidRPr="00DB0AF5" w:rsidRDefault="00DB0AF5" w:rsidP="00DB0AF5">
      <w:pPr>
        <w:shd w:val="clear" w:color="auto" w:fill="FFFFFF"/>
        <w:spacing w:line="360" w:lineRule="auto"/>
        <w:ind w:firstLine="720"/>
        <w:rPr>
          <w:color w:val="000000"/>
          <w:sz w:val="24"/>
          <w:szCs w:val="24"/>
          <w:lang w:eastAsia="en-GB"/>
        </w:rPr>
      </w:pPr>
      <w:r w:rsidRPr="00DB0AF5">
        <w:rPr>
          <w:rFonts w:eastAsia="Calibri"/>
          <w:sz w:val="24"/>
          <w:szCs w:val="24"/>
        </w:rPr>
        <w:t xml:space="preserve">To achieve the global sustainability strategy, C&amp;A developed three pillar areas that have the most significant impact on their business; sustainable products, sustainable supply, and sustainable lives. C&amp;A should penetrate to the Malaysian market to enhance its global market share and profitability. There are roughly over 795 Small and Medium Enterprises </w:t>
      </w:r>
      <w:r w:rsidRPr="00DB0AF5">
        <w:rPr>
          <w:rFonts w:eastAsia="Calibri"/>
          <w:sz w:val="24"/>
          <w:szCs w:val="24"/>
        </w:rPr>
        <w:lastRenderedPageBreak/>
        <w:t>(SME) in the Malaysian textile industry. The market has a vast potential and is expected to grow to 154% by 2020. The country enjoys sophisticated textile systems but may end up failing due to the lack of knowledgeable and skilled labour. The shortage of skilled workforce is hindering the growth of the textile industry because many of the textile manufacturers shy away from committing to recurring orders to avoid setbacks due to labour shortage. Given the high costs of labour, C&amp;A should penetrate the Malaysian market by establishing online sales as well as establishing retail stores in the Malaysian market.</w:t>
      </w:r>
      <w:r w:rsidRPr="00DB0AF5">
        <w:rPr>
          <w:color w:val="000000"/>
          <w:sz w:val="24"/>
          <w:szCs w:val="24"/>
          <w:lang w:eastAsia="en-GB"/>
        </w:rPr>
        <w:br/>
      </w:r>
    </w:p>
    <w:p w:rsidR="00DB0AF5" w:rsidRPr="00DB0AF5" w:rsidRDefault="00DB0AF5" w:rsidP="00DB0AF5">
      <w:pPr>
        <w:spacing w:line="360" w:lineRule="auto"/>
        <w:rPr>
          <w:bCs/>
          <w:color w:val="000000"/>
          <w:sz w:val="24"/>
          <w:szCs w:val="24"/>
          <w:lang w:val="en-US" w:eastAsia="en-GB"/>
        </w:rPr>
      </w:pPr>
    </w:p>
    <w:p w:rsidR="00DB0AF5" w:rsidRPr="00DB0AF5" w:rsidRDefault="00DB0AF5" w:rsidP="00DB0AF5">
      <w:pPr>
        <w:rPr>
          <w:bCs/>
          <w:color w:val="000000"/>
          <w:sz w:val="24"/>
          <w:szCs w:val="24"/>
          <w:lang w:val="en-US" w:eastAsia="en-GB"/>
        </w:rPr>
      </w:pPr>
      <w:r w:rsidRPr="00DB0AF5">
        <w:rPr>
          <w:bCs/>
          <w:color w:val="000000"/>
          <w:sz w:val="24"/>
          <w:szCs w:val="24"/>
          <w:lang w:val="en-US" w:eastAsia="en-GB"/>
        </w:rPr>
        <w:br w:type="page"/>
      </w:r>
    </w:p>
    <w:p w:rsidR="00DB0AF5" w:rsidRPr="00DB0AF5" w:rsidRDefault="00DB0AF5" w:rsidP="00DB0AF5">
      <w:pPr>
        <w:pStyle w:val="ListParagraph"/>
        <w:numPr>
          <w:ilvl w:val="0"/>
          <w:numId w:val="7"/>
        </w:numPr>
        <w:shd w:val="clear" w:color="auto" w:fill="FFFFFF"/>
        <w:spacing w:line="360" w:lineRule="auto"/>
        <w:jc w:val="center"/>
        <w:rPr>
          <w:b/>
          <w:bCs/>
          <w:color w:val="000000"/>
          <w:lang w:eastAsia="en-GB"/>
        </w:rPr>
      </w:pPr>
      <w:r w:rsidRPr="00DB0AF5">
        <w:rPr>
          <w:b/>
          <w:bCs/>
          <w:color w:val="000000"/>
          <w:lang w:eastAsia="en-GB"/>
        </w:rPr>
        <w:lastRenderedPageBreak/>
        <w:t xml:space="preserve"> References</w:t>
      </w:r>
    </w:p>
    <w:p w:rsidR="00DB0AF5" w:rsidRPr="00DB0AF5" w:rsidRDefault="00DB0AF5" w:rsidP="00DB0AF5">
      <w:pPr>
        <w:pStyle w:val="ListParagraph"/>
        <w:shd w:val="clear" w:color="auto" w:fill="FFFFFF"/>
        <w:spacing w:line="360" w:lineRule="auto"/>
        <w:ind w:left="420"/>
        <w:rPr>
          <w:b/>
          <w:bCs/>
          <w:color w:val="000000"/>
          <w:lang w:eastAsia="en-GB"/>
        </w:rPr>
      </w:pPr>
    </w:p>
    <w:p w:rsidR="00DB0AF5" w:rsidRPr="00DB0AF5" w:rsidRDefault="00DB0AF5" w:rsidP="00DB0AF5">
      <w:pPr>
        <w:shd w:val="clear" w:color="auto" w:fill="FFFFFF"/>
        <w:spacing w:line="360" w:lineRule="auto"/>
        <w:ind w:left="720" w:hanging="720"/>
        <w:rPr>
          <w:b/>
          <w:bCs/>
          <w:color w:val="000000"/>
          <w:sz w:val="24"/>
          <w:szCs w:val="24"/>
          <w:lang w:eastAsia="en-GB"/>
        </w:rPr>
      </w:pPr>
      <w:r w:rsidRPr="00DB0AF5">
        <w:rPr>
          <w:color w:val="222222"/>
          <w:sz w:val="24"/>
          <w:szCs w:val="24"/>
          <w:shd w:val="clear" w:color="auto" w:fill="FFFFFF"/>
        </w:rPr>
        <w:t>Altamony, H., Al-Salti, Z., Gharaibeh, A. &amp;Elyas, T., 2016. The relationship between change management strategy and successful enterprise resource planning (ERP) implementations: A theoretical perspective. </w:t>
      </w:r>
      <w:r w:rsidRPr="00DB0AF5">
        <w:rPr>
          <w:i/>
          <w:iCs/>
          <w:color w:val="222222"/>
          <w:sz w:val="24"/>
          <w:szCs w:val="24"/>
          <w:shd w:val="clear" w:color="auto" w:fill="FFFFFF"/>
        </w:rPr>
        <w:t>International Journal of Business Management and Economic Research</w:t>
      </w:r>
      <w:r w:rsidRPr="00DB0AF5">
        <w:rPr>
          <w:color w:val="222222"/>
          <w:sz w:val="24"/>
          <w:szCs w:val="24"/>
          <w:shd w:val="clear" w:color="auto" w:fill="FFFFFF"/>
        </w:rPr>
        <w:t>, </w:t>
      </w:r>
      <w:r w:rsidRPr="00DB0AF5">
        <w:rPr>
          <w:i/>
          <w:iCs/>
          <w:color w:val="222222"/>
          <w:sz w:val="24"/>
          <w:szCs w:val="24"/>
          <w:shd w:val="clear" w:color="auto" w:fill="FFFFFF"/>
        </w:rPr>
        <w:t>7</w:t>
      </w:r>
      <w:r w:rsidRPr="00DB0AF5">
        <w:rPr>
          <w:color w:val="222222"/>
          <w:sz w:val="24"/>
          <w:szCs w:val="24"/>
          <w:shd w:val="clear" w:color="auto" w:fill="FFFFFF"/>
        </w:rPr>
        <w:t>(4), pp.690-703.</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Crinis, V., 2017. Global commodity chains in crisis: The garment industry in Malaysia. </w:t>
      </w:r>
      <w:r w:rsidRPr="00DB0AF5">
        <w:rPr>
          <w:i/>
          <w:iCs/>
          <w:color w:val="222222"/>
          <w:sz w:val="24"/>
          <w:szCs w:val="24"/>
          <w:shd w:val="clear" w:color="auto" w:fill="FFFFFF"/>
        </w:rPr>
        <w:t>Institutions and Economies</w:t>
      </w:r>
      <w:r w:rsidRPr="00DB0AF5">
        <w:rPr>
          <w:color w:val="222222"/>
          <w:sz w:val="24"/>
          <w:szCs w:val="24"/>
          <w:shd w:val="clear" w:color="auto" w:fill="FFFFFF"/>
        </w:rPr>
        <w:t>, pp.61-82.</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Franco, M.A., 2017. Circular economy at the micro level: A dynamic view of incumbents’ struggles and challenges in the textile industry. </w:t>
      </w:r>
      <w:r w:rsidRPr="00DB0AF5">
        <w:rPr>
          <w:i/>
          <w:iCs/>
          <w:color w:val="222222"/>
          <w:sz w:val="24"/>
          <w:szCs w:val="24"/>
          <w:shd w:val="clear" w:color="auto" w:fill="FFFFFF"/>
        </w:rPr>
        <w:t>Journal of cleaner production</w:t>
      </w:r>
      <w:r w:rsidRPr="00DB0AF5">
        <w:rPr>
          <w:color w:val="222222"/>
          <w:sz w:val="24"/>
          <w:szCs w:val="24"/>
          <w:shd w:val="clear" w:color="auto" w:fill="FFFFFF"/>
        </w:rPr>
        <w:t>, </w:t>
      </w:r>
      <w:r w:rsidRPr="00DB0AF5">
        <w:rPr>
          <w:i/>
          <w:iCs/>
          <w:color w:val="222222"/>
          <w:sz w:val="24"/>
          <w:szCs w:val="24"/>
          <w:shd w:val="clear" w:color="auto" w:fill="FFFFFF"/>
        </w:rPr>
        <w:t>168</w:t>
      </w:r>
      <w:r w:rsidRPr="00DB0AF5">
        <w:rPr>
          <w:color w:val="222222"/>
          <w:sz w:val="24"/>
          <w:szCs w:val="24"/>
          <w:shd w:val="clear" w:color="auto" w:fill="FFFFFF"/>
        </w:rPr>
        <w:t>, pp.833-845.</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DeNisi, A.S. and Murphy, K.R., 2017. Performance appraisal and performance management: 100 years of progress?. </w:t>
      </w:r>
      <w:r w:rsidRPr="00DB0AF5">
        <w:rPr>
          <w:i/>
          <w:iCs/>
          <w:color w:val="222222"/>
          <w:sz w:val="24"/>
          <w:szCs w:val="24"/>
          <w:shd w:val="clear" w:color="auto" w:fill="FFFFFF"/>
        </w:rPr>
        <w:t>Journal of Applied Psychology</w:t>
      </w:r>
      <w:r w:rsidRPr="00DB0AF5">
        <w:rPr>
          <w:color w:val="222222"/>
          <w:sz w:val="24"/>
          <w:szCs w:val="24"/>
          <w:shd w:val="clear" w:color="auto" w:fill="FFFFFF"/>
        </w:rPr>
        <w:t>, </w:t>
      </w:r>
      <w:r w:rsidRPr="00DB0AF5">
        <w:rPr>
          <w:i/>
          <w:iCs/>
          <w:color w:val="222222"/>
          <w:sz w:val="24"/>
          <w:szCs w:val="24"/>
          <w:shd w:val="clear" w:color="auto" w:fill="FFFFFF"/>
        </w:rPr>
        <w:t>102</w:t>
      </w:r>
      <w:r w:rsidRPr="00DB0AF5">
        <w:rPr>
          <w:color w:val="222222"/>
          <w:sz w:val="24"/>
          <w:szCs w:val="24"/>
          <w:shd w:val="clear" w:color="auto" w:fill="FFFFFF"/>
        </w:rPr>
        <w:t>(3), p.421.</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Hawking, P. and Sellitto, C., 2018 Business Intelligence Project Implementation: A Retail Company Case Study in C-and-A.</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Hickman, C.R. and Silva, M.A., 2018. </w:t>
      </w:r>
      <w:r w:rsidRPr="00DB0AF5">
        <w:rPr>
          <w:i/>
          <w:iCs/>
          <w:color w:val="222222"/>
          <w:sz w:val="24"/>
          <w:szCs w:val="24"/>
          <w:shd w:val="clear" w:color="auto" w:fill="FFFFFF"/>
        </w:rPr>
        <w:t>Creating excellence: Managing corporate culture, strategy, and change in the new age</w:t>
      </w:r>
      <w:r w:rsidRPr="00DB0AF5">
        <w:rPr>
          <w:color w:val="222222"/>
          <w:sz w:val="24"/>
          <w:szCs w:val="24"/>
          <w:shd w:val="clear" w:color="auto" w:fill="FFFFFF"/>
        </w:rPr>
        <w:t>. Routledge.</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 xml:space="preserve">Hoole, C. and Hotz, G., </w:t>
      </w:r>
      <w:bookmarkStart w:id="0" w:name="_GoBack"/>
      <w:r w:rsidRPr="00DB0AF5">
        <w:rPr>
          <w:color w:val="222222"/>
          <w:sz w:val="24"/>
          <w:szCs w:val="24"/>
          <w:shd w:val="clear" w:color="auto" w:fill="FFFFFF"/>
        </w:rPr>
        <w:t>201</w:t>
      </w:r>
      <w:bookmarkEnd w:id="0"/>
      <w:r w:rsidRPr="00DB0AF5">
        <w:rPr>
          <w:color w:val="222222"/>
          <w:sz w:val="24"/>
          <w:szCs w:val="24"/>
          <w:shd w:val="clear" w:color="auto" w:fill="FFFFFF"/>
        </w:rPr>
        <w:t>6. The impact of a total reward system of work engagement. </w:t>
      </w:r>
      <w:r w:rsidRPr="00DB0AF5">
        <w:rPr>
          <w:i/>
          <w:iCs/>
          <w:color w:val="222222"/>
          <w:sz w:val="24"/>
          <w:szCs w:val="24"/>
          <w:shd w:val="clear" w:color="auto" w:fill="FFFFFF"/>
        </w:rPr>
        <w:t>SA Journal of Industrial Psychology</w:t>
      </w:r>
      <w:r w:rsidRPr="00DB0AF5">
        <w:rPr>
          <w:color w:val="222222"/>
          <w:sz w:val="24"/>
          <w:szCs w:val="24"/>
          <w:shd w:val="clear" w:color="auto" w:fill="FFFFFF"/>
        </w:rPr>
        <w:t>, </w:t>
      </w:r>
      <w:r w:rsidRPr="00DB0AF5">
        <w:rPr>
          <w:i/>
          <w:iCs/>
          <w:color w:val="222222"/>
          <w:sz w:val="24"/>
          <w:szCs w:val="24"/>
          <w:shd w:val="clear" w:color="auto" w:fill="FFFFFF"/>
        </w:rPr>
        <w:t>42</w:t>
      </w:r>
      <w:r w:rsidRPr="00DB0AF5">
        <w:rPr>
          <w:color w:val="222222"/>
          <w:sz w:val="24"/>
          <w:szCs w:val="24"/>
          <w:shd w:val="clear" w:color="auto" w:fill="FFFFFF"/>
        </w:rPr>
        <w:t>(1), pp.1-14.</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Jha, B. and Kumar, A., 2016. Employee engagement: A strategic tool to enhance performance. </w:t>
      </w:r>
      <w:r w:rsidRPr="00DB0AF5">
        <w:rPr>
          <w:i/>
          <w:iCs/>
          <w:color w:val="222222"/>
          <w:sz w:val="24"/>
          <w:szCs w:val="24"/>
          <w:shd w:val="clear" w:color="auto" w:fill="FFFFFF"/>
        </w:rPr>
        <w:t>DAWN: Journal for Contemporary Research in Management</w:t>
      </w:r>
      <w:r w:rsidRPr="00DB0AF5">
        <w:rPr>
          <w:color w:val="222222"/>
          <w:sz w:val="24"/>
          <w:szCs w:val="24"/>
          <w:shd w:val="clear" w:color="auto" w:fill="FFFFFF"/>
        </w:rPr>
        <w:t>, </w:t>
      </w:r>
      <w:r w:rsidRPr="00DB0AF5">
        <w:rPr>
          <w:i/>
          <w:iCs/>
          <w:color w:val="222222"/>
          <w:sz w:val="24"/>
          <w:szCs w:val="24"/>
          <w:shd w:val="clear" w:color="auto" w:fill="FFFFFF"/>
        </w:rPr>
        <w:t>3</w:t>
      </w:r>
      <w:r w:rsidRPr="00DB0AF5">
        <w:rPr>
          <w:color w:val="222222"/>
          <w:sz w:val="24"/>
          <w:szCs w:val="24"/>
          <w:shd w:val="clear" w:color="auto" w:fill="FFFFFF"/>
        </w:rPr>
        <w:t>(2), pp.21-29.</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Lambert, J., 2016. Cultural diversity as a mechanism for innovation: Workplace diversity and the absorptive capacity framework. </w:t>
      </w:r>
      <w:r w:rsidRPr="00DB0AF5">
        <w:rPr>
          <w:i/>
          <w:iCs/>
          <w:color w:val="222222"/>
          <w:sz w:val="24"/>
          <w:szCs w:val="24"/>
          <w:shd w:val="clear" w:color="auto" w:fill="FFFFFF"/>
        </w:rPr>
        <w:t>Journal of Organizational Culture, Communications and Conflict</w:t>
      </w:r>
      <w:r w:rsidRPr="00DB0AF5">
        <w:rPr>
          <w:color w:val="222222"/>
          <w:sz w:val="24"/>
          <w:szCs w:val="24"/>
          <w:shd w:val="clear" w:color="auto" w:fill="FFFFFF"/>
        </w:rPr>
        <w:t>, </w:t>
      </w:r>
      <w:r w:rsidRPr="00DB0AF5">
        <w:rPr>
          <w:i/>
          <w:iCs/>
          <w:color w:val="222222"/>
          <w:sz w:val="24"/>
          <w:szCs w:val="24"/>
          <w:shd w:val="clear" w:color="auto" w:fill="FFFFFF"/>
        </w:rPr>
        <w:t>20</w:t>
      </w:r>
      <w:r w:rsidRPr="00DB0AF5">
        <w:rPr>
          <w:color w:val="222222"/>
          <w:sz w:val="24"/>
          <w:szCs w:val="24"/>
          <w:shd w:val="clear" w:color="auto" w:fill="FFFFFF"/>
        </w:rPr>
        <w:t>(1), p.68.</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Lee, K.L., Hassan, M.G. and Mohamed Udin, Z., 2016. The contribution of supply chain technology in Malaysian textile and apparel industry. </w:t>
      </w:r>
      <w:r w:rsidRPr="00DB0AF5">
        <w:rPr>
          <w:i/>
          <w:iCs/>
          <w:color w:val="222222"/>
          <w:sz w:val="24"/>
          <w:szCs w:val="24"/>
          <w:shd w:val="clear" w:color="auto" w:fill="FFFFFF"/>
        </w:rPr>
        <w:t>Journal of Advanced Management Science</w:t>
      </w:r>
      <w:r w:rsidRPr="00DB0AF5">
        <w:rPr>
          <w:color w:val="222222"/>
          <w:sz w:val="24"/>
          <w:szCs w:val="24"/>
          <w:shd w:val="clear" w:color="auto" w:fill="FFFFFF"/>
        </w:rPr>
        <w:t>.</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Noe, R.A., Hollenbeck, J.R., Gerhart, B. and Wright, P.M., 2017. </w:t>
      </w:r>
      <w:r w:rsidRPr="00DB0AF5">
        <w:rPr>
          <w:i/>
          <w:iCs/>
          <w:color w:val="222222"/>
          <w:sz w:val="24"/>
          <w:szCs w:val="24"/>
          <w:shd w:val="clear" w:color="auto" w:fill="FFFFFF"/>
        </w:rPr>
        <w:t>Human resource management: Gaining a competitive advantage</w:t>
      </w:r>
      <w:r w:rsidRPr="00DB0AF5">
        <w:rPr>
          <w:color w:val="222222"/>
          <w:sz w:val="24"/>
          <w:szCs w:val="24"/>
          <w:shd w:val="clear" w:color="auto" w:fill="FFFFFF"/>
        </w:rPr>
        <w:t>. New York, NY: McGraw-Hill Education.</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Sato, Y., Kobayashi, N. and Shirasaka, S., 2017.  A Proposal of HR System’s Visualization based on Harvard Model, Life Cycle, and Organization Strategy and Management Type.</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lastRenderedPageBreak/>
        <w:t>Shen, Y.C., Chen, P.S. and Wang, C.H., 2016.A study of enterprise resource planning (ERP) system performance measurement using the quantitative balanced scorecard approach. </w:t>
      </w:r>
      <w:r w:rsidRPr="00DB0AF5">
        <w:rPr>
          <w:i/>
          <w:iCs/>
          <w:color w:val="222222"/>
          <w:sz w:val="24"/>
          <w:szCs w:val="24"/>
          <w:shd w:val="clear" w:color="auto" w:fill="FFFFFF"/>
        </w:rPr>
        <w:t>Computers in Industry</w:t>
      </w:r>
      <w:r w:rsidRPr="00DB0AF5">
        <w:rPr>
          <w:color w:val="222222"/>
          <w:sz w:val="24"/>
          <w:szCs w:val="24"/>
          <w:shd w:val="clear" w:color="auto" w:fill="FFFFFF"/>
        </w:rPr>
        <w:t>, </w:t>
      </w:r>
      <w:r w:rsidRPr="00DB0AF5">
        <w:rPr>
          <w:i/>
          <w:iCs/>
          <w:color w:val="222222"/>
          <w:sz w:val="24"/>
          <w:szCs w:val="24"/>
          <w:shd w:val="clear" w:color="auto" w:fill="FFFFFF"/>
        </w:rPr>
        <w:t>75</w:t>
      </w:r>
      <w:r w:rsidRPr="00DB0AF5">
        <w:rPr>
          <w:color w:val="222222"/>
          <w:sz w:val="24"/>
          <w:szCs w:val="24"/>
          <w:shd w:val="clear" w:color="auto" w:fill="FFFFFF"/>
        </w:rPr>
        <w:t>, pp.127-139.</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Soesanto, R.P., Andrawina, L., Pertiwi, I.R. and Kurniawati, A., 2016, August.Relationship of Knowledge Management Cycle and the Performance from Human Customer and Organizational Perspective. In </w:t>
      </w:r>
      <w:r w:rsidRPr="00DB0AF5">
        <w:rPr>
          <w:i/>
          <w:iCs/>
          <w:color w:val="222222"/>
          <w:sz w:val="24"/>
          <w:szCs w:val="24"/>
          <w:shd w:val="clear" w:color="auto" w:fill="FFFFFF"/>
        </w:rPr>
        <w:t>Knowledge Management International Conference (KMICe) Chiang Mai</w:t>
      </w:r>
      <w:r w:rsidRPr="00DB0AF5">
        <w:rPr>
          <w:color w:val="222222"/>
          <w:sz w:val="24"/>
          <w:szCs w:val="24"/>
          <w:shd w:val="clear" w:color="auto" w:fill="FFFFFF"/>
        </w:rPr>
        <w:t xml:space="preserve"> (pp. 416-420). </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Udriyah, U., Tham, J. and Azam, S., 2019. The effects of market orientation and innovation on competitive advantage and business performance of textile SMEs. </w:t>
      </w:r>
      <w:r w:rsidRPr="00DB0AF5">
        <w:rPr>
          <w:i/>
          <w:iCs/>
          <w:color w:val="222222"/>
          <w:sz w:val="24"/>
          <w:szCs w:val="24"/>
          <w:shd w:val="clear" w:color="auto" w:fill="FFFFFF"/>
        </w:rPr>
        <w:t>Management Science Letters</w:t>
      </w:r>
      <w:r w:rsidRPr="00DB0AF5">
        <w:rPr>
          <w:color w:val="222222"/>
          <w:sz w:val="24"/>
          <w:szCs w:val="24"/>
          <w:shd w:val="clear" w:color="auto" w:fill="FFFFFF"/>
        </w:rPr>
        <w:t>, </w:t>
      </w:r>
      <w:r w:rsidRPr="00DB0AF5">
        <w:rPr>
          <w:i/>
          <w:iCs/>
          <w:color w:val="222222"/>
          <w:sz w:val="24"/>
          <w:szCs w:val="24"/>
          <w:shd w:val="clear" w:color="auto" w:fill="FFFFFF"/>
        </w:rPr>
        <w:t>9</w:t>
      </w:r>
      <w:r w:rsidRPr="00DB0AF5">
        <w:rPr>
          <w:color w:val="222222"/>
          <w:sz w:val="24"/>
          <w:szCs w:val="24"/>
          <w:shd w:val="clear" w:color="auto" w:fill="FFFFFF"/>
        </w:rPr>
        <w:t>(9), pp.1419-1428.</w:t>
      </w:r>
    </w:p>
    <w:p w:rsidR="00DB0AF5" w:rsidRPr="00DB0AF5" w:rsidRDefault="00DB0AF5" w:rsidP="00DB0AF5">
      <w:pPr>
        <w:shd w:val="clear" w:color="auto" w:fill="FFFFFF"/>
        <w:spacing w:line="360" w:lineRule="auto"/>
        <w:ind w:left="720" w:hanging="720"/>
        <w:rPr>
          <w:color w:val="222222"/>
          <w:sz w:val="24"/>
          <w:szCs w:val="24"/>
          <w:shd w:val="clear" w:color="auto" w:fill="FFFFFF"/>
        </w:rPr>
      </w:pPr>
      <w:r w:rsidRPr="00DB0AF5">
        <w:rPr>
          <w:color w:val="222222"/>
          <w:sz w:val="24"/>
          <w:szCs w:val="24"/>
          <w:shd w:val="clear" w:color="auto" w:fill="FFFFFF"/>
        </w:rPr>
        <w:t>Zarceno, J., 2017. ZarCen Training Model: Systematizing the Training and Assessment Process of Mechatronics Technology for the Optimization of the Skills Based Competency of Industry Workers. </w:t>
      </w:r>
      <w:r w:rsidRPr="00DB0AF5">
        <w:rPr>
          <w:i/>
          <w:iCs/>
          <w:color w:val="222222"/>
          <w:sz w:val="24"/>
          <w:szCs w:val="24"/>
          <w:shd w:val="clear" w:color="auto" w:fill="FFFFFF"/>
        </w:rPr>
        <w:t>American Scientific Research Journal for Engineering, Technology, and Sciences (ASRJETS)</w:t>
      </w:r>
      <w:r w:rsidRPr="00DB0AF5">
        <w:rPr>
          <w:color w:val="222222"/>
          <w:sz w:val="24"/>
          <w:szCs w:val="24"/>
          <w:shd w:val="clear" w:color="auto" w:fill="FFFFFF"/>
        </w:rPr>
        <w:t>, </w:t>
      </w:r>
      <w:r w:rsidRPr="00DB0AF5">
        <w:rPr>
          <w:i/>
          <w:iCs/>
          <w:color w:val="222222"/>
          <w:sz w:val="24"/>
          <w:szCs w:val="24"/>
          <w:shd w:val="clear" w:color="auto" w:fill="FFFFFF"/>
        </w:rPr>
        <w:t>35</w:t>
      </w:r>
      <w:r w:rsidRPr="00DB0AF5">
        <w:rPr>
          <w:color w:val="222222"/>
          <w:sz w:val="24"/>
          <w:szCs w:val="24"/>
          <w:shd w:val="clear" w:color="auto" w:fill="FFFFFF"/>
        </w:rPr>
        <w:t>(1), pp.67-85.</w:t>
      </w:r>
    </w:p>
    <w:p w:rsidR="00DB0AF5" w:rsidRPr="00DB0AF5" w:rsidRDefault="00DB0AF5" w:rsidP="00DB0AF5">
      <w:pPr>
        <w:shd w:val="clear" w:color="auto" w:fill="FFFFFF"/>
        <w:spacing w:line="360" w:lineRule="auto"/>
        <w:ind w:left="720" w:hanging="720"/>
        <w:rPr>
          <w:sz w:val="24"/>
          <w:szCs w:val="24"/>
        </w:rPr>
      </w:pPr>
      <w:r w:rsidRPr="00DB0AF5">
        <w:rPr>
          <w:color w:val="222222"/>
          <w:sz w:val="24"/>
          <w:szCs w:val="24"/>
          <w:shd w:val="clear" w:color="auto" w:fill="FFFFFF"/>
        </w:rPr>
        <w:t xml:space="preserve">c-and –a .com sustainability.2019. Retrieved from  </w:t>
      </w:r>
      <w:hyperlink r:id="rId10" w:history="1">
        <w:r w:rsidRPr="00DB0AF5">
          <w:rPr>
            <w:rStyle w:val="Hyperlink"/>
            <w:sz w:val="24"/>
            <w:szCs w:val="24"/>
          </w:rPr>
          <w:t>http://sustainability.c-and-a.com/fileadmin/pdf-sustainability/globalsustainabilityreport2017-en.pdf</w:t>
        </w:r>
      </w:hyperlink>
    </w:p>
    <w:p w:rsidR="00DB0AF5" w:rsidRPr="00215716" w:rsidRDefault="00DB0AF5" w:rsidP="00DB0AF5">
      <w:pPr>
        <w:shd w:val="clear" w:color="auto" w:fill="FFFFFF"/>
        <w:spacing w:line="360" w:lineRule="auto"/>
        <w:ind w:left="720" w:hanging="720"/>
        <w:rPr>
          <w:sz w:val="24"/>
          <w:szCs w:val="24"/>
        </w:rPr>
      </w:pPr>
      <w:r w:rsidRPr="00DB0AF5">
        <w:rPr>
          <w:color w:val="222222"/>
          <w:sz w:val="24"/>
          <w:szCs w:val="24"/>
          <w:shd w:val="clear" w:color="auto" w:fill="FFFFFF"/>
        </w:rPr>
        <w:t xml:space="preserve">c-and –a. com career.2019. Retrieved from  </w:t>
      </w:r>
      <w:hyperlink r:id="rId11" w:history="1">
        <w:r w:rsidRPr="00DB0AF5">
          <w:rPr>
            <w:rStyle w:val="Hyperlink"/>
            <w:sz w:val="24"/>
            <w:szCs w:val="24"/>
          </w:rPr>
          <w:t>https://www.c-and-a.com/career/en/c-a-how-to-apply</w:t>
        </w:r>
      </w:hyperlink>
    </w:p>
    <w:p w:rsidR="00DB0AF5" w:rsidRPr="00215716" w:rsidRDefault="00DB0AF5" w:rsidP="00DB0AF5">
      <w:pPr>
        <w:shd w:val="clear" w:color="auto" w:fill="FFFFFF"/>
        <w:spacing w:line="360" w:lineRule="auto"/>
        <w:ind w:left="720" w:hanging="720"/>
        <w:rPr>
          <w:sz w:val="24"/>
          <w:szCs w:val="24"/>
        </w:rPr>
      </w:pPr>
    </w:p>
    <w:p w:rsidR="00DB0AF5" w:rsidRPr="00215716" w:rsidRDefault="00DB0AF5" w:rsidP="00DB0AF5">
      <w:pPr>
        <w:shd w:val="clear" w:color="auto" w:fill="FFFFFF"/>
        <w:spacing w:line="360" w:lineRule="auto"/>
        <w:ind w:left="720" w:hanging="720"/>
        <w:rPr>
          <w:b/>
          <w:bCs/>
          <w:color w:val="000000"/>
          <w:sz w:val="24"/>
          <w:szCs w:val="24"/>
          <w:lang w:eastAsia="en-GB"/>
        </w:rPr>
      </w:pPr>
    </w:p>
    <w:p w:rsidR="00DB0AF5" w:rsidRPr="00215716" w:rsidRDefault="00DB0AF5" w:rsidP="00DB0AF5">
      <w:pPr>
        <w:shd w:val="clear" w:color="auto" w:fill="FFFFFF"/>
        <w:spacing w:line="360" w:lineRule="auto"/>
        <w:ind w:left="720" w:hanging="720"/>
        <w:rPr>
          <w:b/>
          <w:bCs/>
          <w:color w:val="000000"/>
          <w:sz w:val="24"/>
          <w:szCs w:val="24"/>
          <w:lang w:eastAsia="en-GB"/>
        </w:rPr>
      </w:pPr>
    </w:p>
    <w:p w:rsidR="00DB0AF5" w:rsidRPr="00215716" w:rsidRDefault="00DB0AF5" w:rsidP="00DB0AF5">
      <w:pPr>
        <w:shd w:val="clear" w:color="auto" w:fill="FFFFFF"/>
        <w:spacing w:line="360" w:lineRule="auto"/>
        <w:ind w:left="720" w:hanging="720"/>
        <w:rPr>
          <w:b/>
          <w:bCs/>
          <w:color w:val="000000"/>
          <w:sz w:val="24"/>
          <w:szCs w:val="24"/>
          <w:lang w:eastAsia="en-GB"/>
        </w:rPr>
      </w:pPr>
    </w:p>
    <w:p w:rsidR="00DB0AF5" w:rsidRPr="00215716" w:rsidRDefault="00DB0AF5" w:rsidP="00DB0AF5">
      <w:pPr>
        <w:shd w:val="clear" w:color="auto" w:fill="FFFFFF"/>
        <w:spacing w:line="360" w:lineRule="auto"/>
        <w:ind w:left="720" w:hanging="720"/>
        <w:rPr>
          <w:b/>
          <w:bCs/>
          <w:color w:val="000000"/>
          <w:sz w:val="24"/>
          <w:szCs w:val="24"/>
          <w:lang w:eastAsia="en-GB"/>
        </w:rPr>
      </w:pPr>
    </w:p>
    <w:p w:rsidR="00A06191" w:rsidRPr="00DB0AF5" w:rsidRDefault="00A06191" w:rsidP="00DB0AF5"/>
    <w:sectPr w:rsidR="00A06191" w:rsidRPr="00DB0AF5" w:rsidSect="00C523B0">
      <w:footerReference w:type="default" r:id="rId12"/>
      <w:pgSz w:w="11906" w:h="16838"/>
      <w:pgMar w:top="1440" w:right="1440" w:bottom="1440" w:left="1440"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75F" w:rsidRDefault="006C675F">
      <w:r>
        <w:separator/>
      </w:r>
    </w:p>
  </w:endnote>
  <w:endnote w:type="continuationSeparator" w:id="1">
    <w:p w:rsidR="006C675F" w:rsidRDefault="006C675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7418682"/>
      <w:docPartObj>
        <w:docPartGallery w:val="Page Numbers (Bottom of Page)"/>
        <w:docPartUnique/>
      </w:docPartObj>
    </w:sdtPr>
    <w:sdtEndPr>
      <w:rPr>
        <w:noProof/>
      </w:rPr>
    </w:sdtEndPr>
    <w:sdtContent>
      <w:p w:rsidR="00E92772" w:rsidRDefault="00B26BF9">
        <w:pPr>
          <w:pStyle w:val="Footer"/>
          <w:jc w:val="center"/>
        </w:pPr>
        <w:r>
          <w:fldChar w:fldCharType="begin"/>
        </w:r>
        <w:r w:rsidR="00306E25">
          <w:instrText xml:space="preserve"> PAGE   \* MERGEFORMAT </w:instrText>
        </w:r>
        <w:r>
          <w:fldChar w:fldCharType="separate"/>
        </w:r>
        <w:r w:rsidR="00A06BDF">
          <w:rPr>
            <w:noProof/>
          </w:rPr>
          <w:t>1</w:t>
        </w:r>
        <w:r>
          <w:rPr>
            <w:noProof/>
          </w:rPr>
          <w:fldChar w:fldCharType="end"/>
        </w:r>
      </w:p>
    </w:sdtContent>
  </w:sdt>
  <w:p w:rsidR="00E92772" w:rsidRDefault="00E927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75F" w:rsidRDefault="006C675F">
      <w:r>
        <w:separator/>
      </w:r>
    </w:p>
  </w:footnote>
  <w:footnote w:type="continuationSeparator" w:id="1">
    <w:p w:rsidR="006C675F" w:rsidRDefault="006C67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268F4"/>
    <w:multiLevelType w:val="hybridMultilevel"/>
    <w:tmpl w:val="53FC3D14"/>
    <w:lvl w:ilvl="0" w:tplc="3D94C9A4">
      <w:start w:val="1"/>
      <w:numFmt w:val="bullet"/>
      <w:lvlText w:val=""/>
      <w:lvlJc w:val="left"/>
      <w:pPr>
        <w:ind w:left="720" w:hanging="360"/>
      </w:pPr>
      <w:rPr>
        <w:rFonts w:ascii="Wingdings" w:hAnsi="Wingdings" w:hint="default"/>
      </w:rPr>
    </w:lvl>
    <w:lvl w:ilvl="1" w:tplc="51CA2D36" w:tentative="1">
      <w:start w:val="1"/>
      <w:numFmt w:val="lowerLetter"/>
      <w:lvlText w:val="%2."/>
      <w:lvlJc w:val="left"/>
      <w:pPr>
        <w:ind w:left="1440" w:hanging="360"/>
      </w:pPr>
    </w:lvl>
    <w:lvl w:ilvl="2" w:tplc="E3328524" w:tentative="1">
      <w:start w:val="1"/>
      <w:numFmt w:val="lowerRoman"/>
      <w:lvlText w:val="%3."/>
      <w:lvlJc w:val="right"/>
      <w:pPr>
        <w:ind w:left="2160" w:hanging="180"/>
      </w:pPr>
    </w:lvl>
    <w:lvl w:ilvl="3" w:tplc="28801EEE" w:tentative="1">
      <w:start w:val="1"/>
      <w:numFmt w:val="decimal"/>
      <w:lvlText w:val="%4."/>
      <w:lvlJc w:val="left"/>
      <w:pPr>
        <w:ind w:left="2880" w:hanging="360"/>
      </w:pPr>
    </w:lvl>
    <w:lvl w:ilvl="4" w:tplc="05889EEE" w:tentative="1">
      <w:start w:val="1"/>
      <w:numFmt w:val="lowerLetter"/>
      <w:lvlText w:val="%5."/>
      <w:lvlJc w:val="left"/>
      <w:pPr>
        <w:ind w:left="3600" w:hanging="360"/>
      </w:pPr>
    </w:lvl>
    <w:lvl w:ilvl="5" w:tplc="AF60801A" w:tentative="1">
      <w:start w:val="1"/>
      <w:numFmt w:val="lowerRoman"/>
      <w:lvlText w:val="%6."/>
      <w:lvlJc w:val="right"/>
      <w:pPr>
        <w:ind w:left="4320" w:hanging="180"/>
      </w:pPr>
    </w:lvl>
    <w:lvl w:ilvl="6" w:tplc="F078E2F2" w:tentative="1">
      <w:start w:val="1"/>
      <w:numFmt w:val="decimal"/>
      <w:lvlText w:val="%7."/>
      <w:lvlJc w:val="left"/>
      <w:pPr>
        <w:ind w:left="5040" w:hanging="360"/>
      </w:pPr>
    </w:lvl>
    <w:lvl w:ilvl="7" w:tplc="F4C27838" w:tentative="1">
      <w:start w:val="1"/>
      <w:numFmt w:val="lowerLetter"/>
      <w:lvlText w:val="%8."/>
      <w:lvlJc w:val="left"/>
      <w:pPr>
        <w:ind w:left="5760" w:hanging="360"/>
      </w:pPr>
    </w:lvl>
    <w:lvl w:ilvl="8" w:tplc="902C82EA" w:tentative="1">
      <w:start w:val="1"/>
      <w:numFmt w:val="lowerRoman"/>
      <w:lvlText w:val="%9."/>
      <w:lvlJc w:val="right"/>
      <w:pPr>
        <w:ind w:left="6480" w:hanging="180"/>
      </w:pPr>
    </w:lvl>
  </w:abstractNum>
  <w:abstractNum w:abstractNumId="1">
    <w:nsid w:val="1AEE4D2B"/>
    <w:multiLevelType w:val="multilevel"/>
    <w:tmpl w:val="5D1EE27C"/>
    <w:lvl w:ilvl="0">
      <w:start w:val="1"/>
      <w:numFmt w:val="decimal"/>
      <w:lvlText w:val="%1.0"/>
      <w:lvlJc w:val="left"/>
      <w:pPr>
        <w:ind w:left="0" w:hanging="420"/>
      </w:pPr>
      <w:rPr>
        <w:rFonts w:hint="default"/>
        <w:color w:val="auto"/>
      </w:rPr>
    </w:lvl>
    <w:lvl w:ilvl="1">
      <w:start w:val="1"/>
      <w:numFmt w:val="decimal"/>
      <w:lvlText w:val="%1.%2"/>
      <w:lvlJc w:val="left"/>
      <w:pPr>
        <w:ind w:left="-630" w:hanging="4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1770" w:hanging="1080"/>
      </w:pPr>
      <w:rPr>
        <w:rFonts w:hint="default"/>
      </w:rPr>
    </w:lvl>
    <w:lvl w:ilvl="4">
      <w:start w:val="1"/>
      <w:numFmt w:val="decimal"/>
      <w:lvlText w:val="%1.%2.%3.%4.%5"/>
      <w:lvlJc w:val="left"/>
      <w:pPr>
        <w:ind w:left="2490"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290" w:hanging="1440"/>
      </w:pPr>
      <w:rPr>
        <w:rFonts w:hint="default"/>
      </w:rPr>
    </w:lvl>
    <w:lvl w:ilvl="7">
      <w:start w:val="1"/>
      <w:numFmt w:val="decimal"/>
      <w:lvlText w:val="%1.%2.%3.%4.%5.%6.%7.%8"/>
      <w:lvlJc w:val="left"/>
      <w:pPr>
        <w:ind w:left="5370" w:hanging="1800"/>
      </w:pPr>
      <w:rPr>
        <w:rFonts w:hint="default"/>
      </w:rPr>
    </w:lvl>
    <w:lvl w:ilvl="8">
      <w:start w:val="1"/>
      <w:numFmt w:val="decimal"/>
      <w:lvlText w:val="%1.%2.%3.%4.%5.%6.%7.%8.%9"/>
      <w:lvlJc w:val="left"/>
      <w:pPr>
        <w:ind w:left="6450" w:hanging="2160"/>
      </w:pPr>
      <w:rPr>
        <w:rFonts w:hint="default"/>
      </w:rPr>
    </w:lvl>
  </w:abstractNum>
  <w:abstractNum w:abstractNumId="2">
    <w:nsid w:val="229147BC"/>
    <w:multiLevelType w:val="hybridMultilevel"/>
    <w:tmpl w:val="8F506912"/>
    <w:lvl w:ilvl="0" w:tplc="15A226B2">
      <w:start w:val="1"/>
      <w:numFmt w:val="decimal"/>
      <w:lvlText w:val="%1)"/>
      <w:lvlJc w:val="left"/>
      <w:pPr>
        <w:ind w:left="720" w:hanging="360"/>
      </w:pPr>
    </w:lvl>
    <w:lvl w:ilvl="1" w:tplc="C084379E" w:tentative="1">
      <w:start w:val="1"/>
      <w:numFmt w:val="lowerLetter"/>
      <w:lvlText w:val="%2."/>
      <w:lvlJc w:val="left"/>
      <w:pPr>
        <w:ind w:left="1440" w:hanging="360"/>
      </w:pPr>
    </w:lvl>
    <w:lvl w:ilvl="2" w:tplc="F48ADA20" w:tentative="1">
      <w:start w:val="1"/>
      <w:numFmt w:val="lowerRoman"/>
      <w:lvlText w:val="%3."/>
      <w:lvlJc w:val="right"/>
      <w:pPr>
        <w:ind w:left="2160" w:hanging="180"/>
      </w:pPr>
    </w:lvl>
    <w:lvl w:ilvl="3" w:tplc="A5DC94F6" w:tentative="1">
      <w:start w:val="1"/>
      <w:numFmt w:val="decimal"/>
      <w:lvlText w:val="%4."/>
      <w:lvlJc w:val="left"/>
      <w:pPr>
        <w:ind w:left="2880" w:hanging="360"/>
      </w:pPr>
    </w:lvl>
    <w:lvl w:ilvl="4" w:tplc="42727216" w:tentative="1">
      <w:start w:val="1"/>
      <w:numFmt w:val="lowerLetter"/>
      <w:lvlText w:val="%5."/>
      <w:lvlJc w:val="left"/>
      <w:pPr>
        <w:ind w:left="3600" w:hanging="360"/>
      </w:pPr>
    </w:lvl>
    <w:lvl w:ilvl="5" w:tplc="46B85EE8" w:tentative="1">
      <w:start w:val="1"/>
      <w:numFmt w:val="lowerRoman"/>
      <w:lvlText w:val="%6."/>
      <w:lvlJc w:val="right"/>
      <w:pPr>
        <w:ind w:left="4320" w:hanging="180"/>
      </w:pPr>
    </w:lvl>
    <w:lvl w:ilvl="6" w:tplc="4A0E679A" w:tentative="1">
      <w:start w:val="1"/>
      <w:numFmt w:val="decimal"/>
      <w:lvlText w:val="%7."/>
      <w:lvlJc w:val="left"/>
      <w:pPr>
        <w:ind w:left="5040" w:hanging="360"/>
      </w:pPr>
    </w:lvl>
    <w:lvl w:ilvl="7" w:tplc="05F609B2" w:tentative="1">
      <w:start w:val="1"/>
      <w:numFmt w:val="lowerLetter"/>
      <w:lvlText w:val="%8."/>
      <w:lvlJc w:val="left"/>
      <w:pPr>
        <w:ind w:left="5760" w:hanging="360"/>
      </w:pPr>
    </w:lvl>
    <w:lvl w:ilvl="8" w:tplc="4F6C336C" w:tentative="1">
      <w:start w:val="1"/>
      <w:numFmt w:val="lowerRoman"/>
      <w:lvlText w:val="%9."/>
      <w:lvlJc w:val="right"/>
      <w:pPr>
        <w:ind w:left="6480" w:hanging="180"/>
      </w:pPr>
    </w:lvl>
  </w:abstractNum>
  <w:abstractNum w:abstractNumId="3">
    <w:nsid w:val="2BD66645"/>
    <w:multiLevelType w:val="hybridMultilevel"/>
    <w:tmpl w:val="4FD066F8"/>
    <w:lvl w:ilvl="0" w:tplc="6B1CA0F8">
      <w:start w:val="1"/>
      <w:numFmt w:val="lowerLetter"/>
      <w:lvlText w:val="%1)"/>
      <w:lvlJc w:val="left"/>
      <w:pPr>
        <w:ind w:left="1080" w:hanging="360"/>
      </w:pPr>
      <w:rPr>
        <w:rFonts w:hint="default"/>
      </w:rPr>
    </w:lvl>
    <w:lvl w:ilvl="1" w:tplc="C11035AE" w:tentative="1">
      <w:start w:val="1"/>
      <w:numFmt w:val="lowerLetter"/>
      <w:lvlText w:val="%2."/>
      <w:lvlJc w:val="left"/>
      <w:pPr>
        <w:ind w:left="1800" w:hanging="360"/>
      </w:pPr>
    </w:lvl>
    <w:lvl w:ilvl="2" w:tplc="B9A68712" w:tentative="1">
      <w:start w:val="1"/>
      <w:numFmt w:val="lowerRoman"/>
      <w:lvlText w:val="%3."/>
      <w:lvlJc w:val="right"/>
      <w:pPr>
        <w:ind w:left="2520" w:hanging="180"/>
      </w:pPr>
    </w:lvl>
    <w:lvl w:ilvl="3" w:tplc="3DAC5728" w:tentative="1">
      <w:start w:val="1"/>
      <w:numFmt w:val="decimal"/>
      <w:lvlText w:val="%4."/>
      <w:lvlJc w:val="left"/>
      <w:pPr>
        <w:ind w:left="3240" w:hanging="360"/>
      </w:pPr>
    </w:lvl>
    <w:lvl w:ilvl="4" w:tplc="2CECD8A2" w:tentative="1">
      <w:start w:val="1"/>
      <w:numFmt w:val="lowerLetter"/>
      <w:lvlText w:val="%5."/>
      <w:lvlJc w:val="left"/>
      <w:pPr>
        <w:ind w:left="3960" w:hanging="360"/>
      </w:pPr>
    </w:lvl>
    <w:lvl w:ilvl="5" w:tplc="3752C180" w:tentative="1">
      <w:start w:val="1"/>
      <w:numFmt w:val="lowerRoman"/>
      <w:lvlText w:val="%6."/>
      <w:lvlJc w:val="right"/>
      <w:pPr>
        <w:ind w:left="4680" w:hanging="180"/>
      </w:pPr>
    </w:lvl>
    <w:lvl w:ilvl="6" w:tplc="F06887DA" w:tentative="1">
      <w:start w:val="1"/>
      <w:numFmt w:val="decimal"/>
      <w:lvlText w:val="%7."/>
      <w:lvlJc w:val="left"/>
      <w:pPr>
        <w:ind w:left="5400" w:hanging="360"/>
      </w:pPr>
    </w:lvl>
    <w:lvl w:ilvl="7" w:tplc="164E1CE8" w:tentative="1">
      <w:start w:val="1"/>
      <w:numFmt w:val="lowerLetter"/>
      <w:lvlText w:val="%8."/>
      <w:lvlJc w:val="left"/>
      <w:pPr>
        <w:ind w:left="6120" w:hanging="360"/>
      </w:pPr>
    </w:lvl>
    <w:lvl w:ilvl="8" w:tplc="33189F4A" w:tentative="1">
      <w:start w:val="1"/>
      <w:numFmt w:val="lowerRoman"/>
      <w:lvlText w:val="%9."/>
      <w:lvlJc w:val="right"/>
      <w:pPr>
        <w:ind w:left="6840" w:hanging="180"/>
      </w:pPr>
    </w:lvl>
  </w:abstractNum>
  <w:abstractNum w:abstractNumId="4">
    <w:nsid w:val="3FAA1A8E"/>
    <w:multiLevelType w:val="hybridMultilevel"/>
    <w:tmpl w:val="47E20456"/>
    <w:lvl w:ilvl="0" w:tplc="D04EC01A">
      <w:start w:val="1"/>
      <w:numFmt w:val="decimal"/>
      <w:lvlText w:val="%1."/>
      <w:lvlJc w:val="left"/>
      <w:pPr>
        <w:ind w:left="1440" w:hanging="360"/>
      </w:pPr>
    </w:lvl>
    <w:lvl w:ilvl="1" w:tplc="5CCEAAC4" w:tentative="1">
      <w:start w:val="1"/>
      <w:numFmt w:val="lowerLetter"/>
      <w:lvlText w:val="%2."/>
      <w:lvlJc w:val="left"/>
      <w:pPr>
        <w:ind w:left="2160" w:hanging="360"/>
      </w:pPr>
    </w:lvl>
    <w:lvl w:ilvl="2" w:tplc="A08469C4" w:tentative="1">
      <w:start w:val="1"/>
      <w:numFmt w:val="lowerRoman"/>
      <w:lvlText w:val="%3."/>
      <w:lvlJc w:val="right"/>
      <w:pPr>
        <w:ind w:left="2880" w:hanging="180"/>
      </w:pPr>
    </w:lvl>
    <w:lvl w:ilvl="3" w:tplc="18DC1538" w:tentative="1">
      <w:start w:val="1"/>
      <w:numFmt w:val="decimal"/>
      <w:lvlText w:val="%4."/>
      <w:lvlJc w:val="left"/>
      <w:pPr>
        <w:ind w:left="3600" w:hanging="360"/>
      </w:pPr>
    </w:lvl>
    <w:lvl w:ilvl="4" w:tplc="4B28C202" w:tentative="1">
      <w:start w:val="1"/>
      <w:numFmt w:val="lowerLetter"/>
      <w:lvlText w:val="%5."/>
      <w:lvlJc w:val="left"/>
      <w:pPr>
        <w:ind w:left="4320" w:hanging="360"/>
      </w:pPr>
    </w:lvl>
    <w:lvl w:ilvl="5" w:tplc="49664D72" w:tentative="1">
      <w:start w:val="1"/>
      <w:numFmt w:val="lowerRoman"/>
      <w:lvlText w:val="%6."/>
      <w:lvlJc w:val="right"/>
      <w:pPr>
        <w:ind w:left="5040" w:hanging="180"/>
      </w:pPr>
    </w:lvl>
    <w:lvl w:ilvl="6" w:tplc="60109CFC" w:tentative="1">
      <w:start w:val="1"/>
      <w:numFmt w:val="decimal"/>
      <w:lvlText w:val="%7."/>
      <w:lvlJc w:val="left"/>
      <w:pPr>
        <w:ind w:left="5760" w:hanging="360"/>
      </w:pPr>
    </w:lvl>
    <w:lvl w:ilvl="7" w:tplc="D65047D8" w:tentative="1">
      <w:start w:val="1"/>
      <w:numFmt w:val="lowerLetter"/>
      <w:lvlText w:val="%8."/>
      <w:lvlJc w:val="left"/>
      <w:pPr>
        <w:ind w:left="6480" w:hanging="360"/>
      </w:pPr>
    </w:lvl>
    <w:lvl w:ilvl="8" w:tplc="9DF2BFC4" w:tentative="1">
      <w:start w:val="1"/>
      <w:numFmt w:val="lowerRoman"/>
      <w:lvlText w:val="%9."/>
      <w:lvlJc w:val="right"/>
      <w:pPr>
        <w:ind w:left="7200" w:hanging="180"/>
      </w:pPr>
    </w:lvl>
  </w:abstractNum>
  <w:abstractNum w:abstractNumId="5">
    <w:nsid w:val="57B16A25"/>
    <w:multiLevelType w:val="hybridMultilevel"/>
    <w:tmpl w:val="47A29FE2"/>
    <w:lvl w:ilvl="0" w:tplc="086ECDDE">
      <w:start w:val="1"/>
      <w:numFmt w:val="bullet"/>
      <w:lvlText w:val=""/>
      <w:lvlJc w:val="left"/>
      <w:pPr>
        <w:ind w:left="720" w:hanging="360"/>
      </w:pPr>
      <w:rPr>
        <w:rFonts w:ascii="Symbol" w:hAnsi="Symbol" w:hint="default"/>
      </w:rPr>
    </w:lvl>
    <w:lvl w:ilvl="1" w:tplc="63C630B4" w:tentative="1">
      <w:start w:val="1"/>
      <w:numFmt w:val="bullet"/>
      <w:lvlText w:val="o"/>
      <w:lvlJc w:val="left"/>
      <w:pPr>
        <w:ind w:left="1440" w:hanging="360"/>
      </w:pPr>
      <w:rPr>
        <w:rFonts w:ascii="Courier New" w:hAnsi="Courier New" w:cs="Courier New" w:hint="default"/>
      </w:rPr>
    </w:lvl>
    <w:lvl w:ilvl="2" w:tplc="E038406E" w:tentative="1">
      <w:start w:val="1"/>
      <w:numFmt w:val="bullet"/>
      <w:lvlText w:val=""/>
      <w:lvlJc w:val="left"/>
      <w:pPr>
        <w:ind w:left="2160" w:hanging="360"/>
      </w:pPr>
      <w:rPr>
        <w:rFonts w:ascii="Wingdings" w:hAnsi="Wingdings" w:hint="default"/>
      </w:rPr>
    </w:lvl>
    <w:lvl w:ilvl="3" w:tplc="4B9C0FE0" w:tentative="1">
      <w:start w:val="1"/>
      <w:numFmt w:val="bullet"/>
      <w:lvlText w:val=""/>
      <w:lvlJc w:val="left"/>
      <w:pPr>
        <w:ind w:left="2880" w:hanging="360"/>
      </w:pPr>
      <w:rPr>
        <w:rFonts w:ascii="Symbol" w:hAnsi="Symbol" w:hint="default"/>
      </w:rPr>
    </w:lvl>
    <w:lvl w:ilvl="4" w:tplc="6FFC7760" w:tentative="1">
      <w:start w:val="1"/>
      <w:numFmt w:val="bullet"/>
      <w:lvlText w:val="o"/>
      <w:lvlJc w:val="left"/>
      <w:pPr>
        <w:ind w:left="3600" w:hanging="360"/>
      </w:pPr>
      <w:rPr>
        <w:rFonts w:ascii="Courier New" w:hAnsi="Courier New" w:cs="Courier New" w:hint="default"/>
      </w:rPr>
    </w:lvl>
    <w:lvl w:ilvl="5" w:tplc="12189BB8" w:tentative="1">
      <w:start w:val="1"/>
      <w:numFmt w:val="bullet"/>
      <w:lvlText w:val=""/>
      <w:lvlJc w:val="left"/>
      <w:pPr>
        <w:ind w:left="4320" w:hanging="360"/>
      </w:pPr>
      <w:rPr>
        <w:rFonts w:ascii="Wingdings" w:hAnsi="Wingdings" w:hint="default"/>
      </w:rPr>
    </w:lvl>
    <w:lvl w:ilvl="6" w:tplc="624A3CB6" w:tentative="1">
      <w:start w:val="1"/>
      <w:numFmt w:val="bullet"/>
      <w:lvlText w:val=""/>
      <w:lvlJc w:val="left"/>
      <w:pPr>
        <w:ind w:left="5040" w:hanging="360"/>
      </w:pPr>
      <w:rPr>
        <w:rFonts w:ascii="Symbol" w:hAnsi="Symbol" w:hint="default"/>
      </w:rPr>
    </w:lvl>
    <w:lvl w:ilvl="7" w:tplc="9D9850C8" w:tentative="1">
      <w:start w:val="1"/>
      <w:numFmt w:val="bullet"/>
      <w:lvlText w:val="o"/>
      <w:lvlJc w:val="left"/>
      <w:pPr>
        <w:ind w:left="5760" w:hanging="360"/>
      </w:pPr>
      <w:rPr>
        <w:rFonts w:ascii="Courier New" w:hAnsi="Courier New" w:cs="Courier New" w:hint="default"/>
      </w:rPr>
    </w:lvl>
    <w:lvl w:ilvl="8" w:tplc="8C504B24" w:tentative="1">
      <w:start w:val="1"/>
      <w:numFmt w:val="bullet"/>
      <w:lvlText w:val=""/>
      <w:lvlJc w:val="left"/>
      <w:pPr>
        <w:ind w:left="6480" w:hanging="360"/>
      </w:pPr>
      <w:rPr>
        <w:rFonts w:ascii="Wingdings" w:hAnsi="Wingdings" w:hint="default"/>
      </w:rPr>
    </w:lvl>
  </w:abstractNum>
  <w:abstractNum w:abstractNumId="6">
    <w:nsid w:val="7D864B76"/>
    <w:multiLevelType w:val="hybridMultilevel"/>
    <w:tmpl w:val="71A68988"/>
    <w:lvl w:ilvl="0" w:tplc="16E6E6B8">
      <w:start w:val="1"/>
      <w:numFmt w:val="decimal"/>
      <w:lvlText w:val="%1."/>
      <w:lvlJc w:val="left"/>
      <w:pPr>
        <w:ind w:left="720" w:hanging="360"/>
      </w:pPr>
    </w:lvl>
    <w:lvl w:ilvl="1" w:tplc="BCDE33B8" w:tentative="1">
      <w:start w:val="1"/>
      <w:numFmt w:val="lowerLetter"/>
      <w:lvlText w:val="%2."/>
      <w:lvlJc w:val="left"/>
      <w:pPr>
        <w:ind w:left="1440" w:hanging="360"/>
      </w:pPr>
    </w:lvl>
    <w:lvl w:ilvl="2" w:tplc="7C344182" w:tentative="1">
      <w:start w:val="1"/>
      <w:numFmt w:val="lowerRoman"/>
      <w:lvlText w:val="%3."/>
      <w:lvlJc w:val="right"/>
      <w:pPr>
        <w:ind w:left="2160" w:hanging="180"/>
      </w:pPr>
    </w:lvl>
    <w:lvl w:ilvl="3" w:tplc="77FC5DB4" w:tentative="1">
      <w:start w:val="1"/>
      <w:numFmt w:val="decimal"/>
      <w:lvlText w:val="%4."/>
      <w:lvlJc w:val="left"/>
      <w:pPr>
        <w:ind w:left="2880" w:hanging="360"/>
      </w:pPr>
    </w:lvl>
    <w:lvl w:ilvl="4" w:tplc="5CC69ADC" w:tentative="1">
      <w:start w:val="1"/>
      <w:numFmt w:val="lowerLetter"/>
      <w:lvlText w:val="%5."/>
      <w:lvlJc w:val="left"/>
      <w:pPr>
        <w:ind w:left="3600" w:hanging="360"/>
      </w:pPr>
    </w:lvl>
    <w:lvl w:ilvl="5" w:tplc="8A2A061C" w:tentative="1">
      <w:start w:val="1"/>
      <w:numFmt w:val="lowerRoman"/>
      <w:lvlText w:val="%6."/>
      <w:lvlJc w:val="right"/>
      <w:pPr>
        <w:ind w:left="4320" w:hanging="180"/>
      </w:pPr>
    </w:lvl>
    <w:lvl w:ilvl="6" w:tplc="A1524C2C" w:tentative="1">
      <w:start w:val="1"/>
      <w:numFmt w:val="decimal"/>
      <w:lvlText w:val="%7."/>
      <w:lvlJc w:val="left"/>
      <w:pPr>
        <w:ind w:left="5040" w:hanging="360"/>
      </w:pPr>
    </w:lvl>
    <w:lvl w:ilvl="7" w:tplc="C212C820" w:tentative="1">
      <w:start w:val="1"/>
      <w:numFmt w:val="lowerLetter"/>
      <w:lvlText w:val="%8."/>
      <w:lvlJc w:val="left"/>
      <w:pPr>
        <w:ind w:left="5760" w:hanging="360"/>
      </w:pPr>
    </w:lvl>
    <w:lvl w:ilvl="8" w:tplc="16B6959A"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3"/>
  </w:num>
  <w:num w:numId="5">
    <w:abstractNumId w:val="6"/>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F3085A"/>
    <w:rsid w:val="00001378"/>
    <w:rsid w:val="0000332B"/>
    <w:rsid w:val="00020203"/>
    <w:rsid w:val="000208D6"/>
    <w:rsid w:val="00030157"/>
    <w:rsid w:val="00041015"/>
    <w:rsid w:val="00056BD7"/>
    <w:rsid w:val="00065CE7"/>
    <w:rsid w:val="000671AD"/>
    <w:rsid w:val="00080677"/>
    <w:rsid w:val="00080DA2"/>
    <w:rsid w:val="000A19C3"/>
    <w:rsid w:val="000A350D"/>
    <w:rsid w:val="000C6CEA"/>
    <w:rsid w:val="000D62DB"/>
    <w:rsid w:val="001027B1"/>
    <w:rsid w:val="00111D9D"/>
    <w:rsid w:val="0011384E"/>
    <w:rsid w:val="00115F89"/>
    <w:rsid w:val="00117B28"/>
    <w:rsid w:val="00121CAA"/>
    <w:rsid w:val="00126058"/>
    <w:rsid w:val="001402AC"/>
    <w:rsid w:val="001523D3"/>
    <w:rsid w:val="001643EC"/>
    <w:rsid w:val="00164816"/>
    <w:rsid w:val="00171A4B"/>
    <w:rsid w:val="00173923"/>
    <w:rsid w:val="0018117E"/>
    <w:rsid w:val="00181EF4"/>
    <w:rsid w:val="00183AC6"/>
    <w:rsid w:val="001867E6"/>
    <w:rsid w:val="001904A4"/>
    <w:rsid w:val="001962F6"/>
    <w:rsid w:val="001A05B0"/>
    <w:rsid w:val="001A1D6F"/>
    <w:rsid w:val="001B4BA3"/>
    <w:rsid w:val="001B511A"/>
    <w:rsid w:val="001D0BFF"/>
    <w:rsid w:val="001D4046"/>
    <w:rsid w:val="001E30A4"/>
    <w:rsid w:val="001F1856"/>
    <w:rsid w:val="0020769A"/>
    <w:rsid w:val="0021423A"/>
    <w:rsid w:val="00215716"/>
    <w:rsid w:val="00216BB8"/>
    <w:rsid w:val="002200C2"/>
    <w:rsid w:val="00220B99"/>
    <w:rsid w:val="00220DD4"/>
    <w:rsid w:val="00221CE9"/>
    <w:rsid w:val="00222C2F"/>
    <w:rsid w:val="00232BD6"/>
    <w:rsid w:val="00234236"/>
    <w:rsid w:val="00237177"/>
    <w:rsid w:val="00243671"/>
    <w:rsid w:val="00245BF2"/>
    <w:rsid w:val="002463D9"/>
    <w:rsid w:val="002607A8"/>
    <w:rsid w:val="0026185C"/>
    <w:rsid w:val="00266346"/>
    <w:rsid w:val="00275A8C"/>
    <w:rsid w:val="002A4540"/>
    <w:rsid w:val="002C1CF6"/>
    <w:rsid w:val="002D7E07"/>
    <w:rsid w:val="002E647A"/>
    <w:rsid w:val="00301036"/>
    <w:rsid w:val="00306E25"/>
    <w:rsid w:val="003109D3"/>
    <w:rsid w:val="003150A5"/>
    <w:rsid w:val="0032787A"/>
    <w:rsid w:val="00336DC5"/>
    <w:rsid w:val="003449AB"/>
    <w:rsid w:val="00353605"/>
    <w:rsid w:val="00355640"/>
    <w:rsid w:val="00370788"/>
    <w:rsid w:val="00372B80"/>
    <w:rsid w:val="00380C50"/>
    <w:rsid w:val="00384131"/>
    <w:rsid w:val="003A7F2F"/>
    <w:rsid w:val="003C2702"/>
    <w:rsid w:val="003D4D42"/>
    <w:rsid w:val="003D5E6C"/>
    <w:rsid w:val="003E2A71"/>
    <w:rsid w:val="003E32B5"/>
    <w:rsid w:val="003F09DB"/>
    <w:rsid w:val="004324B1"/>
    <w:rsid w:val="00435131"/>
    <w:rsid w:val="00444574"/>
    <w:rsid w:val="0045267F"/>
    <w:rsid w:val="0045555C"/>
    <w:rsid w:val="00464B3F"/>
    <w:rsid w:val="0047425E"/>
    <w:rsid w:val="004773CD"/>
    <w:rsid w:val="00493517"/>
    <w:rsid w:val="0049725D"/>
    <w:rsid w:val="004A1497"/>
    <w:rsid w:val="004A48A5"/>
    <w:rsid w:val="004B3B95"/>
    <w:rsid w:val="004B71FE"/>
    <w:rsid w:val="004C1907"/>
    <w:rsid w:val="004D0A3D"/>
    <w:rsid w:val="004D323E"/>
    <w:rsid w:val="004D75F4"/>
    <w:rsid w:val="004E1BD5"/>
    <w:rsid w:val="004E1DBE"/>
    <w:rsid w:val="004F2EE1"/>
    <w:rsid w:val="00504107"/>
    <w:rsid w:val="00512764"/>
    <w:rsid w:val="005205F0"/>
    <w:rsid w:val="00521A18"/>
    <w:rsid w:val="005234FB"/>
    <w:rsid w:val="00524223"/>
    <w:rsid w:val="0054019B"/>
    <w:rsid w:val="005468A4"/>
    <w:rsid w:val="00555BFC"/>
    <w:rsid w:val="00561014"/>
    <w:rsid w:val="00566C3A"/>
    <w:rsid w:val="00573938"/>
    <w:rsid w:val="00574801"/>
    <w:rsid w:val="0057506D"/>
    <w:rsid w:val="005837B4"/>
    <w:rsid w:val="005A518E"/>
    <w:rsid w:val="005A7256"/>
    <w:rsid w:val="005D4822"/>
    <w:rsid w:val="005F173B"/>
    <w:rsid w:val="005F5A6C"/>
    <w:rsid w:val="0060110D"/>
    <w:rsid w:val="006057A8"/>
    <w:rsid w:val="0060795F"/>
    <w:rsid w:val="006130AF"/>
    <w:rsid w:val="006143AA"/>
    <w:rsid w:val="00622CA4"/>
    <w:rsid w:val="006234D1"/>
    <w:rsid w:val="0064477F"/>
    <w:rsid w:val="00645180"/>
    <w:rsid w:val="0064659B"/>
    <w:rsid w:val="0064709B"/>
    <w:rsid w:val="00656F00"/>
    <w:rsid w:val="0066011D"/>
    <w:rsid w:val="006603FD"/>
    <w:rsid w:val="00660408"/>
    <w:rsid w:val="00671B2F"/>
    <w:rsid w:val="00676969"/>
    <w:rsid w:val="00683355"/>
    <w:rsid w:val="00685C6F"/>
    <w:rsid w:val="006906ED"/>
    <w:rsid w:val="006951B5"/>
    <w:rsid w:val="006A5E88"/>
    <w:rsid w:val="006A68A5"/>
    <w:rsid w:val="006B735B"/>
    <w:rsid w:val="006C3EFB"/>
    <w:rsid w:val="006C4A48"/>
    <w:rsid w:val="006C675F"/>
    <w:rsid w:val="006E1935"/>
    <w:rsid w:val="006E589D"/>
    <w:rsid w:val="007010A0"/>
    <w:rsid w:val="00706D16"/>
    <w:rsid w:val="00712336"/>
    <w:rsid w:val="0071562C"/>
    <w:rsid w:val="00716239"/>
    <w:rsid w:val="00724EDF"/>
    <w:rsid w:val="00733D57"/>
    <w:rsid w:val="00734D28"/>
    <w:rsid w:val="007416CC"/>
    <w:rsid w:val="00742151"/>
    <w:rsid w:val="007507AF"/>
    <w:rsid w:val="0075562F"/>
    <w:rsid w:val="00773434"/>
    <w:rsid w:val="007771B0"/>
    <w:rsid w:val="00786EF8"/>
    <w:rsid w:val="00791FF3"/>
    <w:rsid w:val="00794A69"/>
    <w:rsid w:val="00796BBD"/>
    <w:rsid w:val="00797003"/>
    <w:rsid w:val="007A645A"/>
    <w:rsid w:val="007A6517"/>
    <w:rsid w:val="007A6597"/>
    <w:rsid w:val="007A732C"/>
    <w:rsid w:val="007D68B3"/>
    <w:rsid w:val="007F274D"/>
    <w:rsid w:val="007F79C9"/>
    <w:rsid w:val="00805C95"/>
    <w:rsid w:val="00810AA2"/>
    <w:rsid w:val="008179CC"/>
    <w:rsid w:val="008265E5"/>
    <w:rsid w:val="00826E23"/>
    <w:rsid w:val="00827410"/>
    <w:rsid w:val="00830773"/>
    <w:rsid w:val="00841C2A"/>
    <w:rsid w:val="00846D65"/>
    <w:rsid w:val="008512FD"/>
    <w:rsid w:val="0086517A"/>
    <w:rsid w:val="008666BB"/>
    <w:rsid w:val="00874BF5"/>
    <w:rsid w:val="00883300"/>
    <w:rsid w:val="0088464C"/>
    <w:rsid w:val="008A0FAC"/>
    <w:rsid w:val="008A79FA"/>
    <w:rsid w:val="008B1A65"/>
    <w:rsid w:val="008C2EA8"/>
    <w:rsid w:val="008D3D0E"/>
    <w:rsid w:val="008D58CB"/>
    <w:rsid w:val="008D6BA5"/>
    <w:rsid w:val="008E05AA"/>
    <w:rsid w:val="0090627F"/>
    <w:rsid w:val="00915C98"/>
    <w:rsid w:val="00917557"/>
    <w:rsid w:val="00917A62"/>
    <w:rsid w:val="00964B05"/>
    <w:rsid w:val="0096564E"/>
    <w:rsid w:val="009951EA"/>
    <w:rsid w:val="0099611E"/>
    <w:rsid w:val="00996A88"/>
    <w:rsid w:val="009C36EA"/>
    <w:rsid w:val="009E40D6"/>
    <w:rsid w:val="009F2012"/>
    <w:rsid w:val="00A06191"/>
    <w:rsid w:val="00A06BDF"/>
    <w:rsid w:val="00A11841"/>
    <w:rsid w:val="00A30E9B"/>
    <w:rsid w:val="00A33257"/>
    <w:rsid w:val="00A36BB3"/>
    <w:rsid w:val="00A46007"/>
    <w:rsid w:val="00A50EC7"/>
    <w:rsid w:val="00A72631"/>
    <w:rsid w:val="00A73543"/>
    <w:rsid w:val="00A83417"/>
    <w:rsid w:val="00A967AA"/>
    <w:rsid w:val="00A96D08"/>
    <w:rsid w:val="00A97EC2"/>
    <w:rsid w:val="00AA027F"/>
    <w:rsid w:val="00AB050C"/>
    <w:rsid w:val="00AB41D6"/>
    <w:rsid w:val="00AC0841"/>
    <w:rsid w:val="00AC13E0"/>
    <w:rsid w:val="00AC3904"/>
    <w:rsid w:val="00AC7C58"/>
    <w:rsid w:val="00AD5986"/>
    <w:rsid w:val="00AE337B"/>
    <w:rsid w:val="00B02CAA"/>
    <w:rsid w:val="00B21BB5"/>
    <w:rsid w:val="00B26BF9"/>
    <w:rsid w:val="00B32D2F"/>
    <w:rsid w:val="00B37156"/>
    <w:rsid w:val="00B37181"/>
    <w:rsid w:val="00B40FC0"/>
    <w:rsid w:val="00B4169C"/>
    <w:rsid w:val="00B52A2C"/>
    <w:rsid w:val="00B732EC"/>
    <w:rsid w:val="00B82BF5"/>
    <w:rsid w:val="00B95F60"/>
    <w:rsid w:val="00BB222A"/>
    <w:rsid w:val="00BB5DB2"/>
    <w:rsid w:val="00BC4871"/>
    <w:rsid w:val="00BC5C2E"/>
    <w:rsid w:val="00BD2492"/>
    <w:rsid w:val="00BD3178"/>
    <w:rsid w:val="00BD69F4"/>
    <w:rsid w:val="00BF605E"/>
    <w:rsid w:val="00C036D0"/>
    <w:rsid w:val="00C1341C"/>
    <w:rsid w:val="00C26008"/>
    <w:rsid w:val="00C2793B"/>
    <w:rsid w:val="00C32BE9"/>
    <w:rsid w:val="00C41B24"/>
    <w:rsid w:val="00C47847"/>
    <w:rsid w:val="00C50E00"/>
    <w:rsid w:val="00C523B0"/>
    <w:rsid w:val="00C571BE"/>
    <w:rsid w:val="00C629A3"/>
    <w:rsid w:val="00C70C93"/>
    <w:rsid w:val="00C906D6"/>
    <w:rsid w:val="00C92401"/>
    <w:rsid w:val="00C95474"/>
    <w:rsid w:val="00CA1020"/>
    <w:rsid w:val="00CA6241"/>
    <w:rsid w:val="00CD12A1"/>
    <w:rsid w:val="00CE15C7"/>
    <w:rsid w:val="00CE1784"/>
    <w:rsid w:val="00CE2CF7"/>
    <w:rsid w:val="00CF38A5"/>
    <w:rsid w:val="00CF711F"/>
    <w:rsid w:val="00D007D9"/>
    <w:rsid w:val="00D02B55"/>
    <w:rsid w:val="00D03643"/>
    <w:rsid w:val="00D121B2"/>
    <w:rsid w:val="00D14C39"/>
    <w:rsid w:val="00D15525"/>
    <w:rsid w:val="00D174F6"/>
    <w:rsid w:val="00D21A83"/>
    <w:rsid w:val="00D24B6D"/>
    <w:rsid w:val="00D272AF"/>
    <w:rsid w:val="00D336E3"/>
    <w:rsid w:val="00D40949"/>
    <w:rsid w:val="00D5347B"/>
    <w:rsid w:val="00D55CFA"/>
    <w:rsid w:val="00D61028"/>
    <w:rsid w:val="00D8057A"/>
    <w:rsid w:val="00DA247D"/>
    <w:rsid w:val="00DB0AF5"/>
    <w:rsid w:val="00DC00F7"/>
    <w:rsid w:val="00DD7D23"/>
    <w:rsid w:val="00DE1198"/>
    <w:rsid w:val="00DF56FE"/>
    <w:rsid w:val="00DF7B97"/>
    <w:rsid w:val="00E010BD"/>
    <w:rsid w:val="00E0277A"/>
    <w:rsid w:val="00E04DB9"/>
    <w:rsid w:val="00E159AE"/>
    <w:rsid w:val="00E51DB8"/>
    <w:rsid w:val="00E62A3A"/>
    <w:rsid w:val="00E81D66"/>
    <w:rsid w:val="00E92772"/>
    <w:rsid w:val="00EB385C"/>
    <w:rsid w:val="00EC1ACC"/>
    <w:rsid w:val="00EC29FD"/>
    <w:rsid w:val="00EC7C39"/>
    <w:rsid w:val="00ED4B7D"/>
    <w:rsid w:val="00EE0093"/>
    <w:rsid w:val="00EF71E0"/>
    <w:rsid w:val="00F07140"/>
    <w:rsid w:val="00F0755B"/>
    <w:rsid w:val="00F20B7E"/>
    <w:rsid w:val="00F26DF9"/>
    <w:rsid w:val="00F306B5"/>
    <w:rsid w:val="00F3085A"/>
    <w:rsid w:val="00F462B2"/>
    <w:rsid w:val="00F50948"/>
    <w:rsid w:val="00F53008"/>
    <w:rsid w:val="00F75D66"/>
    <w:rsid w:val="00F84BCA"/>
    <w:rsid w:val="00F8637C"/>
    <w:rsid w:val="00F86C6A"/>
    <w:rsid w:val="00F91ACF"/>
    <w:rsid w:val="00F9572D"/>
    <w:rsid w:val="00FA20FE"/>
    <w:rsid w:val="00FA3B0A"/>
    <w:rsid w:val="00FB66D5"/>
    <w:rsid w:val="00FD00D3"/>
    <w:rsid w:val="00FD2B74"/>
    <w:rsid w:val="00FD7413"/>
    <w:rsid w:val="00FD746A"/>
    <w:rsid w:val="00FF2D7C"/>
    <w:rsid w:val="00FF5E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935"/>
    <w:rPr>
      <w:lang w:eastAsia="en-US"/>
    </w:rPr>
  </w:style>
  <w:style w:type="paragraph" w:styleId="Heading1">
    <w:name w:val="heading 1"/>
    <w:basedOn w:val="Normal"/>
    <w:next w:val="Normal"/>
    <w:link w:val="Heading1Char"/>
    <w:qFormat/>
    <w:rsid w:val="00EC29F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3085A"/>
    <w:pPr>
      <w:spacing w:after="120"/>
      <w:outlineLvl w:val="1"/>
    </w:pPr>
    <w:rPr>
      <w:rFonts w:ascii="Helvetica" w:hAnsi="Helvetica" w:cs="Helvetica"/>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sid w:val="006E1935"/>
    <w:rPr>
      <w:rFonts w:ascii="Arial" w:hAnsi="Arial" w:cs="Arial"/>
      <w:color w:val="auto"/>
      <w:sz w:val="20"/>
    </w:rPr>
  </w:style>
  <w:style w:type="character" w:customStyle="1" w:styleId="PersonalReplyStyle">
    <w:name w:val="Personal Reply Style"/>
    <w:basedOn w:val="DefaultParagraphFont"/>
    <w:rsid w:val="006E1935"/>
    <w:rPr>
      <w:rFonts w:ascii="Arial" w:hAnsi="Arial" w:cs="Arial"/>
      <w:color w:val="auto"/>
      <w:sz w:val="20"/>
    </w:rPr>
  </w:style>
  <w:style w:type="character" w:customStyle="1" w:styleId="Heading2Char">
    <w:name w:val="Heading 2 Char"/>
    <w:basedOn w:val="DefaultParagraphFont"/>
    <w:link w:val="Heading2"/>
    <w:uiPriority w:val="9"/>
    <w:rsid w:val="00F3085A"/>
    <w:rPr>
      <w:rFonts w:ascii="Helvetica" w:hAnsi="Helvetica" w:cs="Helvetica"/>
      <w:b/>
      <w:bCs/>
      <w:sz w:val="36"/>
      <w:szCs w:val="36"/>
    </w:rPr>
  </w:style>
  <w:style w:type="paragraph" w:styleId="ListParagraph">
    <w:name w:val="List Paragraph"/>
    <w:basedOn w:val="Normal"/>
    <w:uiPriority w:val="34"/>
    <w:qFormat/>
    <w:rsid w:val="00CF38A5"/>
    <w:pPr>
      <w:ind w:left="720"/>
    </w:pPr>
    <w:rPr>
      <w:sz w:val="24"/>
      <w:szCs w:val="24"/>
      <w:lang w:val="en-US"/>
    </w:rPr>
  </w:style>
  <w:style w:type="character" w:customStyle="1" w:styleId="Heading1Char">
    <w:name w:val="Heading 1 Char"/>
    <w:basedOn w:val="DefaultParagraphFont"/>
    <w:link w:val="Heading1"/>
    <w:rsid w:val="00EC29FD"/>
    <w:rPr>
      <w:rFonts w:asciiTheme="majorHAnsi" w:eastAsiaTheme="majorEastAsia" w:hAnsiTheme="majorHAnsi" w:cstheme="majorBidi"/>
      <w:b/>
      <w:bCs/>
      <w:color w:val="365F91" w:themeColor="accent1" w:themeShade="BF"/>
      <w:sz w:val="28"/>
      <w:szCs w:val="28"/>
      <w:lang w:eastAsia="en-US"/>
    </w:rPr>
  </w:style>
  <w:style w:type="character" w:styleId="Hyperlink">
    <w:name w:val="Hyperlink"/>
    <w:basedOn w:val="DefaultParagraphFont"/>
    <w:uiPriority w:val="99"/>
    <w:semiHidden/>
    <w:unhideWhenUsed/>
    <w:rsid w:val="00A06191"/>
    <w:rPr>
      <w:color w:val="0000FF"/>
      <w:u w:val="single"/>
    </w:rPr>
  </w:style>
  <w:style w:type="paragraph" w:styleId="BalloonText">
    <w:name w:val="Balloon Text"/>
    <w:basedOn w:val="Normal"/>
    <w:link w:val="BalloonTextChar"/>
    <w:semiHidden/>
    <w:unhideWhenUsed/>
    <w:rsid w:val="00A06191"/>
    <w:rPr>
      <w:rFonts w:ascii="Tahoma" w:hAnsi="Tahoma" w:cs="Tahoma"/>
      <w:sz w:val="16"/>
      <w:szCs w:val="16"/>
    </w:rPr>
  </w:style>
  <w:style w:type="character" w:customStyle="1" w:styleId="BalloonTextChar">
    <w:name w:val="Balloon Text Char"/>
    <w:basedOn w:val="DefaultParagraphFont"/>
    <w:link w:val="BalloonText"/>
    <w:semiHidden/>
    <w:rsid w:val="00A06191"/>
    <w:rPr>
      <w:rFonts w:ascii="Tahoma" w:hAnsi="Tahoma" w:cs="Tahoma"/>
      <w:sz w:val="16"/>
      <w:szCs w:val="16"/>
      <w:lang w:eastAsia="en-US"/>
    </w:rPr>
  </w:style>
  <w:style w:type="character" w:customStyle="1" w:styleId="alias">
    <w:name w:val="alias"/>
    <w:basedOn w:val="DefaultParagraphFont"/>
    <w:rsid w:val="0096564E"/>
  </w:style>
  <w:style w:type="paragraph" w:styleId="Header">
    <w:name w:val="header"/>
    <w:basedOn w:val="Normal"/>
    <w:link w:val="HeaderChar"/>
    <w:unhideWhenUsed/>
    <w:rsid w:val="00E92772"/>
    <w:pPr>
      <w:tabs>
        <w:tab w:val="center" w:pos="4680"/>
        <w:tab w:val="right" w:pos="9360"/>
      </w:tabs>
    </w:pPr>
  </w:style>
  <w:style w:type="character" w:customStyle="1" w:styleId="HeaderChar">
    <w:name w:val="Header Char"/>
    <w:basedOn w:val="DefaultParagraphFont"/>
    <w:link w:val="Header"/>
    <w:rsid w:val="00E92772"/>
    <w:rPr>
      <w:lang w:eastAsia="en-US"/>
    </w:rPr>
  </w:style>
  <w:style w:type="paragraph" w:styleId="Footer">
    <w:name w:val="footer"/>
    <w:basedOn w:val="Normal"/>
    <w:link w:val="FooterChar"/>
    <w:uiPriority w:val="99"/>
    <w:unhideWhenUsed/>
    <w:rsid w:val="00E92772"/>
    <w:pPr>
      <w:tabs>
        <w:tab w:val="center" w:pos="4680"/>
        <w:tab w:val="right" w:pos="9360"/>
      </w:tabs>
    </w:pPr>
  </w:style>
  <w:style w:type="character" w:customStyle="1" w:styleId="FooterChar">
    <w:name w:val="Footer Char"/>
    <w:basedOn w:val="DefaultParagraphFont"/>
    <w:link w:val="Footer"/>
    <w:uiPriority w:val="99"/>
    <w:rsid w:val="00E92772"/>
    <w:rPr>
      <w:lang w:eastAsia="en-US"/>
    </w:rPr>
  </w:style>
  <w:style w:type="paragraph" w:styleId="TOCHeading">
    <w:name w:val="TOC Heading"/>
    <w:basedOn w:val="Heading1"/>
    <w:next w:val="Normal"/>
    <w:uiPriority w:val="39"/>
    <w:semiHidden/>
    <w:unhideWhenUsed/>
    <w:qFormat/>
    <w:rsid w:val="008D3D0E"/>
    <w:pPr>
      <w:spacing w:line="276" w:lineRule="auto"/>
      <w:outlineLvl w:val="9"/>
    </w:pPr>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nd-a.com/career/en/c-a-how-to-apply"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ustainability.c-and-a.com/fileadmin/pdf-sustainability/globalsustainabilityreport2017-en.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FD1D5FE9-FAEA-43CF-B15C-185221F63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5358</Words>
  <Characters>30546</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Ward</dc:creator>
  <cp:lastModifiedBy>ADM</cp:lastModifiedBy>
  <cp:revision>2</cp:revision>
  <dcterms:created xsi:type="dcterms:W3CDTF">2019-11-07T12:24:00Z</dcterms:created>
  <dcterms:modified xsi:type="dcterms:W3CDTF">2019-11-07T12:24:00Z</dcterms:modified>
</cp:coreProperties>
</file>